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160" w:right="0" w:firstLine="0"/>
        <w:jc w:val="left"/>
        <w:rPr>
          <w:rFonts w:hint="eastAsia" w:ascii="黑体" w:eastAsia="黑体"/>
          <w:color w:val="auto"/>
          <w:sz w:val="21"/>
          <w:lang w:val="en-US" w:eastAsia="zh-CN"/>
        </w:rPr>
      </w:pPr>
      <w:r>
        <w:rPr>
          <w:rFonts w:hint="eastAsia" w:ascii="黑体" w:eastAsia="黑体"/>
          <w:color w:val="auto"/>
          <w:sz w:val="21"/>
        </w:rPr>
        <w:t>附件</w:t>
      </w:r>
      <w:r>
        <w:rPr>
          <w:rFonts w:hint="eastAsia" w:ascii="黑体" w:eastAsia="黑体"/>
          <w:color w:val="auto"/>
          <w:sz w:val="21"/>
          <w:lang w:val="en-US" w:eastAsia="zh-CN"/>
        </w:rPr>
        <w:t>1</w:t>
      </w:r>
    </w:p>
    <w:p>
      <w:pPr>
        <w:pStyle w:val="2"/>
        <w:spacing w:before="3"/>
        <w:rPr>
          <w:rFonts w:ascii="黑体"/>
          <w:color w:val="auto"/>
          <w:sz w:val="39"/>
        </w:rPr>
      </w:pPr>
      <w:r>
        <w:rPr>
          <w:color w:val="auto"/>
        </w:rPr>
        <w:br w:type="column"/>
      </w:r>
    </w:p>
    <w:p>
      <w:pPr>
        <w:pStyle w:val="2"/>
        <w:ind w:left="-2200" w:leftChars="0" w:firstLine="0" w:firstLineChars="0"/>
        <w:jc w:val="center"/>
        <w:rPr>
          <w:color w:val="auto"/>
        </w:rPr>
      </w:pPr>
      <w:r>
        <w:rPr>
          <w:rFonts w:hint="eastAsia" w:ascii="华文中宋" w:hAnsi="华文中宋" w:eastAsia="华文中宋" w:cs="华文中宋"/>
          <w:color w:val="auto"/>
          <w:w w:val="110"/>
          <w:lang w:val="en-US" w:eastAsia="zh-CN"/>
        </w:rPr>
        <w:t>2024年</w:t>
      </w:r>
      <w:r>
        <w:rPr>
          <w:rFonts w:hint="eastAsia" w:ascii="华文中宋" w:hAnsi="华文中宋" w:eastAsia="华文中宋" w:cs="华文中宋"/>
          <w:color w:val="auto"/>
          <w:w w:val="110"/>
          <w:lang w:eastAsia="zh-CN"/>
        </w:rPr>
        <w:t>集美创新券服务机构</w:t>
      </w:r>
      <w:r>
        <w:rPr>
          <w:rFonts w:hint="eastAsia" w:ascii="华文中宋" w:hAnsi="华文中宋" w:eastAsia="华文中宋" w:cs="华文中宋"/>
          <w:color w:val="auto"/>
          <w:w w:val="110"/>
        </w:rPr>
        <w:t>入选标准</w:t>
      </w:r>
    </w:p>
    <w:p>
      <w:pPr>
        <w:spacing w:after="0"/>
        <w:rPr>
          <w:color w:val="auto"/>
        </w:rPr>
        <w:sectPr>
          <w:type w:val="continuous"/>
          <w:pgSz w:w="11900" w:h="16840"/>
          <w:pgMar w:top="960" w:right="340" w:bottom="280" w:left="440" w:header="720" w:footer="720" w:gutter="0"/>
          <w:cols w:equalWidth="0" w:num="2">
            <w:col w:w="725" w:space="1510"/>
            <w:col w:w="8885"/>
          </w:cols>
        </w:sectPr>
      </w:pPr>
    </w:p>
    <w:p>
      <w:pPr>
        <w:pStyle w:val="2"/>
        <w:spacing w:before="7" w:after="1"/>
        <w:rPr>
          <w:color w:val="auto"/>
          <w:sz w:val="6"/>
        </w:rPr>
      </w:pPr>
    </w:p>
    <w:tbl>
      <w:tblPr>
        <w:tblStyle w:val="4"/>
        <w:tblW w:w="9999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256"/>
        <w:gridCol w:w="47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5" w:type="dxa"/>
          </w:tcPr>
          <w:p>
            <w:pPr>
              <w:pStyle w:val="7"/>
              <w:spacing w:before="85"/>
              <w:ind w:left="35" w:right="3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5"/>
                <w:sz w:val="16"/>
                <w:szCs w:val="28"/>
              </w:rPr>
              <w:t>服务类别</w:t>
            </w:r>
          </w:p>
        </w:tc>
        <w:tc>
          <w:tcPr>
            <w:tcW w:w="4256" w:type="dxa"/>
          </w:tcPr>
          <w:p>
            <w:pPr>
              <w:pStyle w:val="7"/>
              <w:spacing w:before="85"/>
              <w:ind w:left="30" w:right="24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5"/>
                <w:sz w:val="16"/>
                <w:szCs w:val="28"/>
              </w:rPr>
              <w:t>服务内容</w:t>
            </w:r>
          </w:p>
        </w:tc>
        <w:tc>
          <w:tcPr>
            <w:tcW w:w="4738" w:type="dxa"/>
          </w:tcPr>
          <w:p>
            <w:pPr>
              <w:pStyle w:val="7"/>
              <w:spacing w:before="85"/>
              <w:ind w:left="1668" w:right="16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5"/>
                <w:sz w:val="16"/>
                <w:szCs w:val="28"/>
              </w:rPr>
              <w:t>机构资质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21"/>
                <w:szCs w:val="28"/>
              </w:rPr>
            </w:pPr>
          </w:p>
          <w:p>
            <w:pPr>
              <w:pStyle w:val="7"/>
              <w:ind w:left="35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金融服务</w:t>
            </w:r>
          </w:p>
        </w:tc>
        <w:tc>
          <w:tcPr>
            <w:tcW w:w="4256" w:type="dxa"/>
          </w:tcPr>
          <w:p>
            <w:pPr>
              <w:pStyle w:val="7"/>
              <w:spacing w:before="100" w:line="249" w:lineRule="auto"/>
              <w:ind w:left="37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企业增信服务（电子保函、征信服务）；股权架构设计、股权激励方案设计、股份制企业股权变更登记服务；投资和融资服务；新三板、科创板、主板挂牌服务；IPO项目（含海外）的咨询和委托办理；并购交易的咨询和委托办理</w:t>
            </w:r>
          </w:p>
        </w:tc>
        <w:tc>
          <w:tcPr>
            <w:tcW w:w="473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21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上一年度主营业务收入不低于500万元。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color w:val="auto"/>
                <w:sz w:val="13"/>
                <w:szCs w:val="28"/>
              </w:rPr>
            </w:pPr>
          </w:p>
          <w:p>
            <w:pPr>
              <w:pStyle w:val="7"/>
              <w:spacing w:line="261" w:lineRule="auto"/>
              <w:ind w:left="17" w:leftChars="0" w:right="48" w:firstLine="35" w:firstLineChars="0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技术创新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质量服务</w:t>
            </w:r>
          </w:p>
        </w:tc>
        <w:tc>
          <w:tcPr>
            <w:tcW w:w="4256" w:type="dxa"/>
          </w:tcPr>
          <w:p>
            <w:pPr>
              <w:pStyle w:val="7"/>
              <w:spacing w:before="16"/>
              <w:rPr>
                <w:rFonts w:hint="eastAsia" w:ascii="仿宋_GB2312" w:hAnsi="仿宋_GB2312" w:eastAsia="仿宋_GB2312" w:cs="仿宋_GB2312"/>
                <w:color w:val="auto"/>
                <w:sz w:val="13"/>
                <w:szCs w:val="28"/>
              </w:rPr>
            </w:pPr>
          </w:p>
          <w:p>
            <w:pPr>
              <w:pStyle w:val="7"/>
              <w:ind w:left="30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技术评估、技术成果推广和供需对接</w:t>
            </w:r>
          </w:p>
        </w:tc>
        <w:tc>
          <w:tcPr>
            <w:tcW w:w="4738" w:type="dxa"/>
          </w:tcPr>
          <w:p>
            <w:pPr>
              <w:pStyle w:val="7"/>
              <w:spacing w:before="85" w:line="261" w:lineRule="auto"/>
              <w:ind w:left="37" w:right="59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国家、省、市级技术转移示范机构（有效期内），且上一年度服务案例不少于10例。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  <w:vAlign w:val="center"/>
          </w:tcPr>
          <w:p>
            <w:pPr>
              <w:pStyle w:val="7"/>
              <w:ind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28"/>
              </w:rPr>
              <w:t>信息安全等级保护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28"/>
                <w:lang w:eastAsia="zh-CN"/>
              </w:rPr>
              <w:t>备案、测评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28"/>
                <w:lang w:val="en-US" w:eastAsia="zh-CN"/>
              </w:rPr>
              <w:t>等</w:t>
            </w:r>
            <w:bookmarkStart w:id="0" w:name="_GoBack"/>
            <w:bookmarkEnd w:id="0"/>
          </w:p>
        </w:tc>
        <w:tc>
          <w:tcPr>
            <w:tcW w:w="4738" w:type="dxa"/>
          </w:tcPr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color w:val="auto"/>
                <w:sz w:val="13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eastAsia="zh-CN"/>
              </w:rPr>
              <w:t>备案：取得CCRC信息安全服务资质；</w:t>
            </w: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eastAsia="zh-CN"/>
              </w:rPr>
              <w:t>测评：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  <w:lang w:eastAsia="zh-CN"/>
              </w:rPr>
              <w:t>由公安部第三研究所(国家认证认可委员会批准的认证机构)认证发放的《网络安全等级测评与检测评估机构服务认证证书》。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</w:tcPr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10"/>
                <w:szCs w:val="28"/>
              </w:rPr>
            </w:pPr>
          </w:p>
          <w:p>
            <w:pPr>
              <w:pStyle w:val="7"/>
              <w:spacing w:line="252" w:lineRule="auto"/>
              <w:ind w:left="82" w:right="69"/>
              <w:jc w:val="both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工业（产品）设计与服务、集成电路设计、新产品与工业合作研发、新技术委托开发、中试及工程化开发服务、CRO/CDMO服务</w:t>
            </w:r>
          </w:p>
        </w:tc>
        <w:tc>
          <w:tcPr>
            <w:tcW w:w="4738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13"/>
              <w:rPr>
                <w:rFonts w:hint="eastAsia" w:ascii="仿宋_GB2312" w:hAnsi="仿宋_GB2312" w:eastAsia="仿宋_GB2312" w:cs="仿宋_GB2312"/>
                <w:color w:val="auto"/>
                <w:sz w:val="20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符合以下条件之一：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90"/>
              </w:tabs>
              <w:spacing w:before="16" w:after="0" w:line="240" w:lineRule="auto"/>
              <w:ind w:left="37" w:right="57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w w:val="105"/>
                <w:sz w:val="16"/>
                <w:szCs w:val="28"/>
              </w:rPr>
              <w:t>拥有市级以上认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w w:val="105"/>
                <w:sz w:val="16"/>
                <w:szCs w:val="28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w w:val="105"/>
                <w:sz w:val="16"/>
                <w:szCs w:val="28"/>
              </w:rPr>
              <w:t>的重点实验室、企业技术中心、工程中心、公共技术平台的机构；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90"/>
              </w:tabs>
              <w:spacing w:before="16" w:after="0" w:line="240" w:lineRule="auto"/>
              <w:ind w:left="37" w:right="121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具有有效的中国计量认证（CMA）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w w:val="105"/>
                <w:sz w:val="16"/>
                <w:szCs w:val="28"/>
              </w:rPr>
              <w:t>合格证书，或取得中国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合格评定国家认可委员会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105"/>
                <w:sz w:val="16"/>
                <w:szCs w:val="28"/>
              </w:rPr>
              <w:t>（CNAS）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认可相关行业资质。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</w:tcPr>
          <w:p>
            <w:pPr>
              <w:pStyle w:val="7"/>
              <w:spacing w:before="115"/>
              <w:ind w:left="382" w:right="69" w:hanging="301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节能环保咨询、技术改造咨询、工艺诊断、良率调试、流程再造、库存管理</w:t>
            </w:r>
          </w:p>
        </w:tc>
        <w:tc>
          <w:tcPr>
            <w:tcW w:w="47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</w:tcPr>
          <w:p>
            <w:pPr>
              <w:pStyle w:val="7"/>
              <w:spacing w:before="115"/>
              <w:ind w:left="232" w:right="74" w:hanging="151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标准计量、产品检验、指标测试、产品性能测试、软件评测、集成电路封装测试</w:t>
            </w:r>
          </w:p>
        </w:tc>
        <w:tc>
          <w:tcPr>
            <w:tcW w:w="47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</w:tcPr>
          <w:p>
            <w:pPr>
              <w:pStyle w:val="7"/>
              <w:spacing w:before="85"/>
              <w:ind w:left="1267" w:right="71" w:hanging="1186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产品认证；管理体系认证；服务认证；国推认证</w:t>
            </w:r>
          </w:p>
        </w:tc>
        <w:tc>
          <w:tcPr>
            <w:tcW w:w="4738" w:type="dxa"/>
          </w:tcPr>
          <w:p>
            <w:pPr>
              <w:pStyle w:val="7"/>
              <w:spacing w:before="85"/>
              <w:ind w:left="37" w:right="50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取得国家认证认可监督管理委员会（CNCA）认证认可相关行业资质。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8"/>
                <w:szCs w:val="28"/>
              </w:rPr>
            </w:pPr>
          </w:p>
          <w:p>
            <w:pPr>
              <w:pStyle w:val="7"/>
              <w:ind w:left="35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法律服务</w:t>
            </w:r>
          </w:p>
        </w:tc>
        <w:tc>
          <w:tcPr>
            <w:tcW w:w="4256" w:type="dxa"/>
          </w:tcPr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10"/>
                <w:szCs w:val="28"/>
              </w:rPr>
            </w:pPr>
          </w:p>
          <w:p>
            <w:pPr>
              <w:pStyle w:val="7"/>
              <w:ind w:left="29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常年法律顾问、知识产权诉讼、专项服务</w:t>
            </w:r>
          </w:p>
          <w:p>
            <w:pPr>
              <w:pStyle w:val="7"/>
              <w:spacing w:before="16" w:line="247" w:lineRule="auto"/>
              <w:ind w:left="82" w:right="65" w:hanging="6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（新三板、科创板、主板及赴港赴美上市等相关法律服务；募集资金、引入资本相关专项服务；收并购或企业分立合并法律服务； 股权激励法律服务）</w:t>
            </w:r>
          </w:p>
        </w:tc>
        <w:tc>
          <w:tcPr>
            <w:tcW w:w="4738" w:type="dxa"/>
          </w:tcPr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10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同时符合以下条件：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90"/>
              </w:tabs>
              <w:spacing w:before="16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专职执业律师不少于5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105"/>
                <w:sz w:val="16"/>
                <w:szCs w:val="28"/>
              </w:rPr>
              <w:t>名；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90"/>
              </w:tabs>
              <w:spacing w:before="1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上一年度服务案例不少于10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105"/>
                <w:sz w:val="16"/>
                <w:szCs w:val="28"/>
              </w:rPr>
              <w:t>例；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90"/>
              </w:tabs>
              <w:spacing w:before="15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近两年律师事务所年度检查考核等次合格；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90"/>
              </w:tabs>
              <w:spacing w:before="1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上一年度主营业务收入不低于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105"/>
                <w:sz w:val="16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105"/>
                <w:sz w:val="16"/>
                <w:szCs w:val="28"/>
              </w:rPr>
              <w:t>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color w:val="auto"/>
                <w:sz w:val="21"/>
                <w:szCs w:val="28"/>
              </w:rPr>
            </w:pPr>
          </w:p>
          <w:p>
            <w:pPr>
              <w:pStyle w:val="7"/>
              <w:ind w:left="35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会计服务</w:t>
            </w:r>
          </w:p>
        </w:tc>
        <w:tc>
          <w:tcPr>
            <w:tcW w:w="4256" w:type="dxa"/>
          </w:tcPr>
          <w:p>
            <w:pPr>
              <w:pStyle w:val="7"/>
              <w:spacing w:before="100" w:line="252" w:lineRule="auto"/>
              <w:ind w:left="37" w:right="28" w:firstLine="3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年度审计；研发费用加计扣除专项审计；行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105"/>
                <w:sz w:val="16"/>
                <w:szCs w:val="28"/>
              </w:rPr>
              <w:t>业资格年审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w w:val="105"/>
                <w:sz w:val="16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 xml:space="preserve">双软认证、软件企业认定等）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专项审计；高新技术企业认定专项审计；企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w w:val="105"/>
                <w:sz w:val="16"/>
                <w:szCs w:val="28"/>
              </w:rPr>
              <w:t>业合并、分立、清算事宜中的审计；企业收购、兼并专项审计；新三板申报和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105"/>
                <w:sz w:val="16"/>
                <w:szCs w:val="28"/>
              </w:rPr>
              <w:t>IPO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105"/>
                <w:sz w:val="16"/>
                <w:szCs w:val="28"/>
              </w:rPr>
              <w:t>专项审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计</w:t>
            </w:r>
          </w:p>
        </w:tc>
        <w:tc>
          <w:tcPr>
            <w:tcW w:w="4738" w:type="dxa"/>
          </w:tcPr>
          <w:p>
            <w:pPr>
              <w:pStyle w:val="7"/>
              <w:spacing w:before="14"/>
              <w:rPr>
                <w:rFonts w:hint="eastAsia" w:ascii="仿宋_GB2312" w:hAnsi="仿宋_GB2312" w:eastAsia="仿宋_GB2312" w:cs="仿宋_GB2312"/>
                <w:color w:val="auto"/>
                <w:sz w:val="15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同时符合以下条件：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90"/>
              </w:tabs>
              <w:spacing w:before="0" w:after="0" w:line="261" w:lineRule="auto"/>
              <w:ind w:left="37" w:right="52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上一年度入选高新技术企业认定中介机构推荐名单或其他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市直部门公布认可的会计师事务所名单；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90"/>
              </w:tabs>
              <w:spacing w:before="0" w:after="0" w:line="163" w:lineRule="exact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专职注册会计师不少于5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105"/>
                <w:sz w:val="16"/>
                <w:szCs w:val="28"/>
              </w:rPr>
              <w:t>名；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90"/>
              </w:tabs>
              <w:spacing w:before="16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上一年度主营业务收入不低于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105"/>
                <w:sz w:val="16"/>
                <w:szCs w:val="28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105"/>
                <w:sz w:val="16"/>
                <w:szCs w:val="28"/>
              </w:rPr>
              <w:t>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5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  <w:p>
            <w:pPr>
              <w:pStyle w:val="7"/>
              <w:ind w:left="52"/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知识产权</w:t>
            </w:r>
          </w:p>
          <w:p>
            <w:pPr>
              <w:pStyle w:val="7"/>
              <w:ind w:left="52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服务</w:t>
            </w:r>
          </w:p>
        </w:tc>
        <w:tc>
          <w:tcPr>
            <w:tcW w:w="4256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ind w:left="37" w:right="17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商标注册、版权登记</w:t>
            </w:r>
          </w:p>
        </w:tc>
        <w:tc>
          <w:tcPr>
            <w:tcW w:w="4738" w:type="dxa"/>
          </w:tcPr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color w:val="auto"/>
                <w:sz w:val="10"/>
                <w:szCs w:val="28"/>
              </w:rPr>
            </w:pPr>
          </w:p>
          <w:p>
            <w:pPr>
              <w:pStyle w:val="7"/>
              <w:spacing w:line="261" w:lineRule="auto"/>
              <w:ind w:left="37" w:right="63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国家知识产权局商标局备案的商标代理机构，且上一年度主营业务收入不低于250万元。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42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color w:val="auto"/>
                <w:sz w:val="11"/>
                <w:szCs w:val="28"/>
              </w:rPr>
            </w:pPr>
          </w:p>
          <w:p>
            <w:pPr>
              <w:pStyle w:val="7"/>
              <w:spacing w:line="261" w:lineRule="auto"/>
              <w:ind w:left="157" w:right="72" w:hanging="75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专利信息分析利用、科技情报分析、知识产权管理体系咨询、专利战略布局及实施</w:t>
            </w:r>
          </w:p>
        </w:tc>
        <w:tc>
          <w:tcPr>
            <w:tcW w:w="4738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</w:p>
          <w:p>
            <w:pPr>
              <w:pStyle w:val="7"/>
              <w:ind w:left="37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同时符合以下条件：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90"/>
              </w:tabs>
              <w:spacing w:before="0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具有国家知识产权局出具的专利代理机构执业许可证；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90"/>
              </w:tabs>
              <w:spacing w:before="16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6"/>
                <w:szCs w:val="28"/>
              </w:rPr>
              <w:t>持证专利代理人不少于3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105"/>
                <w:sz w:val="16"/>
                <w:szCs w:val="28"/>
              </w:rPr>
              <w:t>名；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90"/>
              </w:tabs>
              <w:spacing w:before="1" w:after="0" w:line="240" w:lineRule="auto"/>
              <w:ind w:left="189" w:right="0" w:hanging="153"/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105"/>
                <w:sz w:val="16"/>
                <w:szCs w:val="28"/>
              </w:rPr>
              <w:t>上一年度主营业务收入不低于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105"/>
                <w:sz w:val="16"/>
                <w:szCs w:val="28"/>
              </w:rPr>
              <w:t>250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105"/>
                <w:sz w:val="16"/>
                <w:szCs w:val="28"/>
              </w:rPr>
              <w:t>万元。</w:t>
            </w:r>
          </w:p>
        </w:tc>
      </w:tr>
    </w:tbl>
    <w:p>
      <w:pPr>
        <w:rPr>
          <w:color w:val="auto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37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40"/>
        </w:rPr>
      </w:pP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40"/>
        </w:rPr>
        <w:t>同时符合以下基本条件：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9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37" w:leftChars="0" w:right="54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40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w w:val="105"/>
          <w:sz w:val="21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1"/>
          <w:w w:val="105"/>
          <w:sz w:val="21"/>
          <w:szCs w:val="40"/>
        </w:rPr>
        <w:t>依法注册且具有独立法人资格的企事业单</w:t>
      </w:r>
      <w:r>
        <w:rPr>
          <w:rFonts w:hint="eastAsia" w:ascii="仿宋_GB2312" w:hAnsi="仿宋_GB2312" w:eastAsia="仿宋_GB2312" w:cs="仿宋_GB2312"/>
          <w:color w:val="auto"/>
          <w:spacing w:val="-2"/>
          <w:w w:val="105"/>
          <w:sz w:val="21"/>
          <w:szCs w:val="40"/>
        </w:rPr>
        <w:t>位</w:t>
      </w:r>
      <w:r>
        <w:rPr>
          <w:rFonts w:hint="eastAsia" w:ascii="仿宋_GB2312" w:hAnsi="仿宋_GB2312" w:eastAsia="仿宋_GB2312" w:cs="仿宋_GB2312"/>
          <w:color w:val="auto"/>
          <w:spacing w:val="-3"/>
          <w:w w:val="105"/>
          <w:sz w:val="21"/>
          <w:szCs w:val="40"/>
        </w:rPr>
        <w:t>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19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36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"/>
          <w:w w:val="105"/>
          <w:sz w:val="21"/>
          <w:szCs w:val="40"/>
        </w:rPr>
      </w:pP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40"/>
        </w:rPr>
        <w:t>具有从事相关服务一年以上的业务基</w:t>
      </w:r>
      <w:r>
        <w:rPr>
          <w:rFonts w:hint="eastAsia" w:ascii="仿宋_GB2312" w:hAnsi="仿宋_GB2312" w:eastAsia="仿宋_GB2312" w:cs="仿宋_GB2312"/>
          <w:color w:val="auto"/>
          <w:spacing w:val="-2"/>
          <w:w w:val="105"/>
          <w:sz w:val="21"/>
          <w:szCs w:val="40"/>
        </w:rPr>
        <w:t>础；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6" w:line="240" w:lineRule="auto"/>
        <w:ind w:right="6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40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w w:val="105"/>
          <w:sz w:val="21"/>
          <w:szCs w:val="40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w w:val="105"/>
          <w:sz w:val="21"/>
          <w:szCs w:val="40"/>
        </w:rPr>
        <w:t>.具备与服务内容相应的资质；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"/>
          <w:w w:val="105"/>
          <w:sz w:val="21"/>
          <w:szCs w:val="32"/>
        </w:rPr>
        <w:t>.有明确的服务内容、收费标</w:t>
      </w:r>
      <w:r>
        <w:rPr>
          <w:rFonts w:hint="eastAsia" w:ascii="仿宋_GB2312" w:hAnsi="仿宋_GB2312" w:eastAsia="仿宋_GB2312" w:cs="仿宋_GB2312"/>
          <w:color w:val="auto"/>
          <w:spacing w:val="-4"/>
          <w:w w:val="105"/>
          <w:sz w:val="21"/>
          <w:szCs w:val="32"/>
        </w:rPr>
        <w:t>准</w:t>
      </w:r>
      <w:r>
        <w:rPr>
          <w:rFonts w:hint="eastAsia" w:ascii="仿宋_GB2312" w:hAnsi="仿宋_GB2312" w:eastAsia="仿宋_GB2312" w:cs="仿宋_GB2312"/>
          <w:color w:val="auto"/>
          <w:spacing w:val="-1"/>
          <w:w w:val="105"/>
          <w:sz w:val="21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上一年度指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2023年；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40"/>
          <w:lang w:val="en-US" w:eastAsia="zh-CN" w:bidi="ar-SA"/>
        </w:rPr>
        <w:t>2.以上标准适用于境内服务机构，境外服务机构另行约定。</w:t>
      </w: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sectPr>
      <w:type w:val="continuous"/>
      <w:pgSz w:w="11900" w:h="16840"/>
      <w:pgMar w:top="960" w:right="340" w:bottom="280" w:left="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9" w:hanging="153"/>
        <w:jc w:val="left"/>
      </w:pPr>
      <w:rPr>
        <w:rFonts w:hint="default" w:ascii="宋体" w:hAnsi="宋体" w:eastAsia="宋体" w:cs="宋体"/>
        <w:spacing w:val="-2"/>
        <w:w w:val="104"/>
        <w:sz w:val="12"/>
        <w:szCs w:val="1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56" w:hanging="1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33" w:hanging="1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9" w:hanging="1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686" w:hanging="1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062" w:hanging="1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439" w:hanging="1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815" w:hanging="1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192" w:hanging="153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7" w:hanging="153"/>
        <w:jc w:val="left"/>
      </w:pPr>
      <w:rPr>
        <w:rFonts w:hint="default" w:ascii="宋体" w:hAnsi="宋体" w:eastAsia="宋体" w:cs="宋体"/>
        <w:spacing w:val="-2"/>
        <w:w w:val="104"/>
        <w:sz w:val="12"/>
        <w:szCs w:val="1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0" w:hanging="1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1" w:hanging="1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11" w:hanging="1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602" w:hanging="1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992" w:hanging="1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383" w:hanging="1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773" w:hanging="1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164" w:hanging="153"/>
      </w:pPr>
      <w:rPr>
        <w:rFonts w:hint="default"/>
        <w:lang w:val="en-US" w:eastAsia="zh-CN" w:bidi="ar-SA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" w:hanging="153"/>
        <w:jc w:val="left"/>
      </w:pPr>
      <w:rPr>
        <w:rFonts w:hint="default" w:ascii="宋体" w:hAnsi="宋体" w:eastAsia="宋体" w:cs="宋体"/>
        <w:spacing w:val="-2"/>
        <w:w w:val="104"/>
        <w:sz w:val="12"/>
        <w:szCs w:val="1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0" w:hanging="1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1" w:hanging="1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11" w:hanging="1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602" w:hanging="1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992" w:hanging="1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383" w:hanging="1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773" w:hanging="1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164" w:hanging="153"/>
      </w:pPr>
      <w:rPr>
        <w:rFonts w:hint="default"/>
        <w:lang w:val="en-US" w:eastAsia="zh-CN" w:bidi="ar-SA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89" w:hanging="153"/>
        <w:jc w:val="left"/>
      </w:pPr>
      <w:rPr>
        <w:rFonts w:hint="default" w:ascii="宋体" w:hAnsi="宋体" w:eastAsia="宋体" w:cs="宋体"/>
        <w:spacing w:val="-2"/>
        <w:w w:val="104"/>
        <w:sz w:val="12"/>
        <w:szCs w:val="1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56" w:hanging="1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33" w:hanging="1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9" w:hanging="1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686" w:hanging="1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062" w:hanging="1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439" w:hanging="1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815" w:hanging="1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192" w:hanging="153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4366"/>
    <w:rsid w:val="05BC6E5F"/>
    <w:rsid w:val="0D5E3C00"/>
    <w:rsid w:val="12B93E6E"/>
    <w:rsid w:val="141702E9"/>
    <w:rsid w:val="169E0CB4"/>
    <w:rsid w:val="1BCD101D"/>
    <w:rsid w:val="1E24501A"/>
    <w:rsid w:val="230126EA"/>
    <w:rsid w:val="26CE46B8"/>
    <w:rsid w:val="289F21C7"/>
    <w:rsid w:val="294D5669"/>
    <w:rsid w:val="2AE45135"/>
    <w:rsid w:val="2C9A3F93"/>
    <w:rsid w:val="3087319E"/>
    <w:rsid w:val="36DE762C"/>
    <w:rsid w:val="3CC96AC3"/>
    <w:rsid w:val="3F3828EF"/>
    <w:rsid w:val="40464EA6"/>
    <w:rsid w:val="473C7294"/>
    <w:rsid w:val="4EAA7527"/>
    <w:rsid w:val="5128720B"/>
    <w:rsid w:val="52B105D1"/>
    <w:rsid w:val="52E342D8"/>
    <w:rsid w:val="54DF0935"/>
    <w:rsid w:val="57CA1511"/>
    <w:rsid w:val="58CF090D"/>
    <w:rsid w:val="59950FFB"/>
    <w:rsid w:val="5B1541FD"/>
    <w:rsid w:val="60F15D09"/>
    <w:rsid w:val="631C1EC6"/>
    <w:rsid w:val="6BF5162C"/>
    <w:rsid w:val="6EAE03F1"/>
    <w:rsid w:val="75C8303B"/>
    <w:rsid w:val="762C637C"/>
    <w:rsid w:val="7755420E"/>
    <w:rsid w:val="778C14F2"/>
    <w:rsid w:val="79C83802"/>
    <w:rsid w:val="7A347468"/>
    <w:rsid w:val="7CC707BB"/>
    <w:rsid w:val="7D9F2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2024-06-07T08:20:00Z</dcterms:created>
  <dc:creator>jdd</dc:creator>
  <cp:lastModifiedBy>小采</cp:lastModifiedBy>
  <dcterms:modified xsi:type="dcterms:W3CDTF">2024-06-28T02:18:37Z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2024-06-07T00:00:00Z</vt:filetime>
  </property>
  <property fmtid="{D5CDD505-2E9C-101B-9397-08002B2CF9AE}" pid="5" name="KSOProductBuildVer">
    <vt:lpwstr>2052-10.8.2.6666</vt:lpwstr>
  </property>
</Properties>
</file>