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02" w:lineRule="atLeast"/>
        <w:jc w:val="center"/>
        <w:rPr>
          <w:rStyle w:val="6"/>
          <w:rFonts w:hint="eastAsia" w:ascii="方正小标宋简体" w:hAnsi="方正小标宋简体" w:eastAsia="方正小标宋简体" w:cs="方正小标宋简体"/>
          <w:b w:val="0"/>
          <w:bCs w:val="0"/>
          <w:color w:val="auto"/>
          <w:w w:val="90"/>
          <w:sz w:val="44"/>
          <w:szCs w:val="44"/>
          <w:highlight w:val="none"/>
        </w:rPr>
      </w:pPr>
      <w:r>
        <w:rPr>
          <w:rStyle w:val="6"/>
          <w:rFonts w:hint="eastAsia" w:ascii="方正小标宋简体" w:hAnsi="方正小标宋简体" w:eastAsia="方正小标宋简体" w:cs="方正小标宋简体"/>
          <w:b w:val="0"/>
          <w:bCs w:val="0"/>
          <w:color w:val="auto"/>
          <w:w w:val="90"/>
          <w:sz w:val="44"/>
          <w:szCs w:val="44"/>
          <w:highlight w:val="none"/>
        </w:rPr>
        <w:t>集美区加快推进</w:t>
      </w:r>
      <w:r>
        <w:rPr>
          <w:rStyle w:val="6"/>
          <w:rFonts w:hint="eastAsia" w:ascii="方正小标宋简体" w:hAnsi="方正小标宋简体" w:eastAsia="方正小标宋简体" w:cs="方正小标宋简体"/>
          <w:b w:val="0"/>
          <w:bCs w:val="0"/>
          <w:color w:val="auto"/>
          <w:w w:val="90"/>
          <w:sz w:val="44"/>
          <w:szCs w:val="44"/>
          <w:highlight w:val="none"/>
          <w:lang w:eastAsia="zh-CN"/>
        </w:rPr>
        <w:t>产业高质量创新发展若干措施</w:t>
      </w:r>
    </w:p>
    <w:p>
      <w:pPr>
        <w:pStyle w:val="4"/>
        <w:keepNext w:val="0"/>
        <w:keepLines w:val="0"/>
        <w:pageBreakBefore w:val="0"/>
        <w:widowControl/>
        <w:kinsoku/>
        <w:wordWrap/>
        <w:overflowPunct/>
        <w:topLinePunct w:val="0"/>
        <w:autoSpaceDE/>
        <w:autoSpaceDN/>
        <w:bidi w:val="0"/>
        <w:adjustRightInd/>
        <w:snapToGrid/>
        <w:spacing w:before="157" w:beforeAutospacing="0" w:after="0" w:afterAutospacing="0" w:line="560" w:lineRule="exact"/>
        <w:ind w:firstLine="640" w:firstLineChars="20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为促进</w:t>
      </w:r>
      <w:r>
        <w:rPr>
          <w:rFonts w:hint="eastAsia" w:ascii="仿宋" w:hAnsi="仿宋" w:eastAsia="仿宋" w:cs="仿宋"/>
          <w:color w:val="auto"/>
          <w:sz w:val="32"/>
          <w:szCs w:val="32"/>
          <w:highlight w:val="none"/>
          <w:lang w:eastAsia="zh-CN"/>
        </w:rPr>
        <w:t>集美区</w:t>
      </w:r>
      <w:r>
        <w:rPr>
          <w:rFonts w:hint="eastAsia" w:ascii="仿宋" w:hAnsi="仿宋" w:eastAsia="仿宋" w:cs="仿宋"/>
          <w:color w:val="auto"/>
          <w:sz w:val="32"/>
          <w:szCs w:val="32"/>
          <w:highlight w:val="none"/>
        </w:rPr>
        <w:t>产业</w:t>
      </w:r>
      <w:r>
        <w:rPr>
          <w:rFonts w:hint="eastAsia" w:ascii="仿宋" w:hAnsi="仿宋" w:eastAsia="仿宋" w:cs="仿宋"/>
          <w:color w:val="auto"/>
          <w:sz w:val="32"/>
          <w:szCs w:val="32"/>
          <w:highlight w:val="none"/>
          <w:lang w:eastAsia="zh-CN"/>
        </w:rPr>
        <w:t>高质量创新</w:t>
      </w:r>
      <w:r>
        <w:rPr>
          <w:rFonts w:hint="eastAsia" w:ascii="仿宋" w:hAnsi="仿宋" w:eastAsia="仿宋" w:cs="仿宋"/>
          <w:color w:val="auto"/>
          <w:sz w:val="32"/>
          <w:szCs w:val="32"/>
          <w:highlight w:val="none"/>
        </w:rPr>
        <w:t>发展，进一步突出企业的创新主体地位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做深做实产业现代化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依据《厦门市人民政府关于印发加快推进软件和新兴数字产业发展若干措施的通知》（厦府规〔2022〕2号）</w:t>
      </w:r>
      <w:r>
        <w:rPr>
          <w:rFonts w:hint="eastAsia" w:ascii="仿宋" w:hAnsi="仿宋" w:eastAsia="仿宋" w:cs="仿宋"/>
          <w:color w:val="auto"/>
          <w:sz w:val="32"/>
          <w:szCs w:val="32"/>
          <w:highlight w:val="none"/>
          <w:lang w:eastAsia="zh-CN"/>
        </w:rPr>
        <w:t>、《厦门市科学技术局 厦门市财政局关于进一步优化高新技术企业扶持政策的通知》（厦科规〔2021〕4号）、《关于进一步实施“聚贤集美”人才计划全面打造高素质区域创新中心的意见》</w:t>
      </w:r>
      <w:r>
        <w:rPr>
          <w:rFonts w:hint="eastAsia" w:ascii="仿宋" w:hAnsi="仿宋" w:eastAsia="仿宋" w:cs="仿宋"/>
          <w:color w:val="auto"/>
          <w:sz w:val="32"/>
          <w:szCs w:val="32"/>
          <w:highlight w:val="none"/>
          <w:lang w:val="en-US" w:eastAsia="zh-CN"/>
        </w:rPr>
        <w:t>(厦集委办〔2018〕92号)</w:t>
      </w:r>
      <w:r>
        <w:rPr>
          <w:rFonts w:hint="eastAsia" w:ascii="仿宋" w:hAnsi="仿宋" w:eastAsia="仿宋" w:cs="仿宋"/>
          <w:color w:val="auto"/>
          <w:sz w:val="32"/>
          <w:szCs w:val="32"/>
          <w:highlight w:val="none"/>
          <w:lang w:eastAsia="zh-CN"/>
        </w:rPr>
        <w:t>等文件精神</w:t>
      </w:r>
      <w:r>
        <w:rPr>
          <w:rFonts w:hint="eastAsia" w:ascii="仿宋" w:hAnsi="仿宋" w:eastAsia="仿宋" w:cs="仿宋"/>
          <w:color w:val="auto"/>
          <w:sz w:val="32"/>
          <w:szCs w:val="32"/>
          <w:highlight w:val="none"/>
        </w:rPr>
        <w:t>，结合</w:t>
      </w:r>
      <w:r>
        <w:rPr>
          <w:rFonts w:hint="eastAsia" w:ascii="仿宋" w:hAnsi="仿宋" w:eastAsia="仿宋" w:cs="仿宋"/>
          <w:color w:val="auto"/>
          <w:sz w:val="32"/>
          <w:szCs w:val="32"/>
          <w:highlight w:val="none"/>
          <w:lang w:val="en-US" w:eastAsia="zh-CN"/>
        </w:rPr>
        <w:t>本区</w:t>
      </w:r>
      <w:r>
        <w:rPr>
          <w:rFonts w:hint="eastAsia" w:ascii="仿宋" w:hAnsi="仿宋" w:eastAsia="仿宋" w:cs="仿宋"/>
          <w:color w:val="auto"/>
          <w:sz w:val="32"/>
          <w:szCs w:val="32"/>
          <w:highlight w:val="none"/>
        </w:rPr>
        <w:t>实际，制定本</w:t>
      </w:r>
      <w:r>
        <w:rPr>
          <w:rFonts w:hint="eastAsia" w:ascii="仿宋" w:hAnsi="仿宋" w:eastAsia="仿宋" w:cs="仿宋"/>
          <w:color w:val="auto"/>
          <w:sz w:val="32"/>
          <w:szCs w:val="32"/>
          <w:highlight w:val="none"/>
          <w:lang w:val="en-US" w:eastAsia="zh-CN"/>
        </w:rPr>
        <w:t>措施</w:t>
      </w:r>
      <w:r>
        <w:rPr>
          <w:rFonts w:hint="eastAsia" w:ascii="仿宋" w:hAnsi="仿宋" w:eastAsia="仿宋" w:cs="仿宋"/>
          <w:color w:val="auto"/>
          <w:sz w:val="32"/>
          <w:szCs w:val="32"/>
          <w:highlight w:val="none"/>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b w:val="0"/>
          <w:bCs w:val="0"/>
          <w:color w:val="auto"/>
          <w:sz w:val="32"/>
          <w:szCs w:val="32"/>
          <w:highlight w:val="none"/>
          <w:lang w:eastAsia="zh-CN"/>
        </w:rPr>
      </w:pPr>
      <w:bookmarkStart w:id="0" w:name="_GoBack"/>
      <w:bookmarkEnd w:id="0"/>
      <w:r>
        <w:rPr>
          <w:rFonts w:hint="eastAsia" w:ascii="黑体" w:hAnsi="黑体" w:eastAsia="黑体" w:cs="黑体"/>
          <w:b w:val="0"/>
          <w:bCs w:val="0"/>
          <w:color w:val="auto"/>
          <w:sz w:val="32"/>
          <w:szCs w:val="32"/>
          <w:highlight w:val="none"/>
          <w:lang w:eastAsia="zh-CN"/>
        </w:rPr>
        <w:t>一、鼓励企业创新发展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楷体" w:hAnsi="楷体" w:eastAsia="楷体" w:cs="楷体"/>
          <w:b w:val="0"/>
          <w:bCs w:val="0"/>
          <w:color w:val="auto"/>
          <w:sz w:val="32"/>
          <w:szCs w:val="32"/>
          <w:highlight w:val="none"/>
          <w:lang w:val="en-US" w:eastAsia="zh-CN"/>
        </w:rPr>
        <w:t>（一）</w:t>
      </w:r>
      <w:r>
        <w:rPr>
          <w:rFonts w:hint="eastAsia" w:ascii="楷体" w:hAnsi="楷体" w:eastAsia="楷体" w:cs="楷体"/>
          <w:b w:val="0"/>
          <w:bCs w:val="0"/>
          <w:color w:val="auto"/>
          <w:sz w:val="32"/>
          <w:szCs w:val="32"/>
          <w:highlight w:val="none"/>
        </w:rPr>
        <w:t>鼓励企业购买创新服务</w:t>
      </w:r>
      <w:r>
        <w:rPr>
          <w:rFonts w:hint="eastAsia" w:ascii="楷体" w:hAnsi="楷体" w:eastAsia="楷体" w:cs="楷体"/>
          <w:b w:val="0"/>
          <w:bCs w:val="0"/>
          <w:color w:val="auto"/>
          <w:sz w:val="32"/>
          <w:szCs w:val="32"/>
          <w:highlight w:val="none"/>
          <w:lang w:eastAsia="zh-CN"/>
        </w:rPr>
        <w:t>。</w:t>
      </w:r>
      <w:r>
        <w:rPr>
          <w:rFonts w:hint="eastAsia" w:ascii="仿宋" w:hAnsi="仿宋" w:eastAsia="仿宋" w:cs="仿宋"/>
          <w:color w:val="auto"/>
          <w:sz w:val="32"/>
          <w:szCs w:val="32"/>
          <w:highlight w:val="none"/>
        </w:rPr>
        <w:t>为鼓励和支持</w:t>
      </w:r>
      <w:r>
        <w:rPr>
          <w:rFonts w:hint="eastAsia" w:ascii="仿宋" w:hAnsi="仿宋" w:eastAsia="仿宋" w:cs="仿宋"/>
          <w:color w:val="auto"/>
          <w:sz w:val="32"/>
          <w:szCs w:val="32"/>
          <w:highlight w:val="none"/>
          <w:lang w:eastAsia="zh-CN"/>
        </w:rPr>
        <w:t>规模以上</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val="en-US" w:eastAsia="zh-CN"/>
        </w:rPr>
        <w:t>积极使用各类高水平服务，提升企业创新能力与运营水平，2023年</w:t>
      </w:r>
      <w:r>
        <w:rPr>
          <w:rFonts w:hint="eastAsia" w:ascii="仿宋" w:hAnsi="仿宋" w:eastAsia="仿宋" w:cs="仿宋"/>
          <w:color w:val="auto"/>
          <w:sz w:val="32"/>
          <w:szCs w:val="32"/>
          <w:highlight w:val="none"/>
        </w:rPr>
        <w:t>面向</w:t>
      </w:r>
      <w:r>
        <w:rPr>
          <w:rFonts w:hint="eastAsia" w:ascii="仿宋" w:hAnsi="仿宋" w:eastAsia="仿宋" w:cs="仿宋"/>
          <w:color w:val="auto"/>
          <w:sz w:val="32"/>
          <w:szCs w:val="32"/>
          <w:highlight w:val="none"/>
          <w:lang w:eastAsia="zh-CN"/>
        </w:rPr>
        <w:t>辖区工业、软件、文化、旅游、商贸、物流等</w:t>
      </w:r>
      <w:r>
        <w:rPr>
          <w:rFonts w:hint="eastAsia" w:ascii="仿宋" w:hAnsi="仿宋" w:eastAsia="仿宋" w:cs="仿宋"/>
          <w:color w:val="auto"/>
          <w:sz w:val="32"/>
          <w:szCs w:val="32"/>
          <w:highlight w:val="none"/>
          <w:lang w:val="en-US" w:eastAsia="zh-CN"/>
        </w:rPr>
        <w:t>规模以上企业</w:t>
      </w:r>
      <w:r>
        <w:rPr>
          <w:rFonts w:hint="eastAsia" w:ascii="仿宋" w:hAnsi="仿宋" w:eastAsia="仿宋" w:cs="仿宋"/>
          <w:color w:val="auto"/>
          <w:sz w:val="32"/>
          <w:szCs w:val="32"/>
          <w:highlight w:val="none"/>
        </w:rPr>
        <w:t>发放电子化支付凭证——“</w:t>
      </w:r>
      <w:r>
        <w:rPr>
          <w:rFonts w:hint="eastAsia" w:ascii="仿宋" w:hAnsi="仿宋" w:eastAsia="仿宋" w:cs="仿宋"/>
          <w:color w:val="auto"/>
          <w:sz w:val="32"/>
          <w:szCs w:val="32"/>
          <w:highlight w:val="none"/>
          <w:lang w:eastAsia="zh-CN"/>
        </w:rPr>
        <w:t>集美</w:t>
      </w:r>
      <w:r>
        <w:rPr>
          <w:rFonts w:hint="eastAsia" w:ascii="仿宋" w:hAnsi="仿宋" w:eastAsia="仿宋" w:cs="仿宋"/>
          <w:color w:val="auto"/>
          <w:sz w:val="32"/>
          <w:szCs w:val="32"/>
          <w:highlight w:val="none"/>
        </w:rPr>
        <w:t>创新券”，并组织评定“</w:t>
      </w:r>
      <w:r>
        <w:rPr>
          <w:rFonts w:hint="eastAsia" w:ascii="仿宋" w:hAnsi="仿宋" w:eastAsia="仿宋" w:cs="仿宋"/>
          <w:color w:val="auto"/>
          <w:sz w:val="32"/>
          <w:szCs w:val="32"/>
          <w:highlight w:val="none"/>
          <w:lang w:eastAsia="zh-CN"/>
        </w:rPr>
        <w:t>集美区</w:t>
      </w:r>
      <w:r>
        <w:rPr>
          <w:rFonts w:hint="eastAsia" w:ascii="仿宋" w:hAnsi="仿宋" w:eastAsia="仿宋" w:cs="仿宋"/>
          <w:color w:val="auto"/>
          <w:sz w:val="32"/>
          <w:szCs w:val="32"/>
          <w:highlight w:val="none"/>
        </w:rPr>
        <w:t>创新券服务机构”和“创新服务事项”。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企业向</w:t>
      </w:r>
      <w:r>
        <w:rPr>
          <w:rFonts w:hint="eastAsia" w:ascii="仿宋" w:hAnsi="仿宋" w:eastAsia="仿宋" w:cs="仿宋"/>
          <w:color w:val="auto"/>
          <w:sz w:val="32"/>
          <w:szCs w:val="32"/>
          <w:highlight w:val="none"/>
          <w:lang w:eastAsia="zh-CN"/>
        </w:rPr>
        <w:t>集美区</w:t>
      </w:r>
      <w:r>
        <w:rPr>
          <w:rFonts w:hint="eastAsia" w:ascii="仿宋" w:hAnsi="仿宋" w:eastAsia="仿宋" w:cs="仿宋"/>
          <w:color w:val="auto"/>
          <w:sz w:val="32"/>
          <w:szCs w:val="32"/>
          <w:highlight w:val="none"/>
        </w:rPr>
        <w:t>创新券服务机构购买创新服务事项时，每次</w:t>
      </w:r>
      <w:r>
        <w:rPr>
          <w:rFonts w:hint="eastAsia" w:ascii="仿宋" w:hAnsi="仿宋" w:eastAsia="仿宋" w:cs="仿宋"/>
          <w:color w:val="auto"/>
          <w:sz w:val="32"/>
          <w:szCs w:val="32"/>
          <w:highlight w:val="none"/>
          <w:lang w:val="en-US" w:eastAsia="zh-CN"/>
        </w:rPr>
        <w:t>应在对应限额内</w:t>
      </w:r>
      <w:r>
        <w:rPr>
          <w:rFonts w:hint="eastAsia" w:ascii="仿宋" w:hAnsi="仿宋" w:eastAsia="仿宋" w:cs="仿宋"/>
          <w:color w:val="auto"/>
          <w:sz w:val="32"/>
          <w:szCs w:val="32"/>
          <w:highlight w:val="none"/>
        </w:rPr>
        <w:t>使用有效期内的</w:t>
      </w:r>
      <w:r>
        <w:rPr>
          <w:rFonts w:hint="eastAsia" w:ascii="仿宋" w:hAnsi="仿宋" w:eastAsia="仿宋" w:cs="仿宋"/>
          <w:color w:val="auto"/>
          <w:sz w:val="32"/>
          <w:szCs w:val="32"/>
          <w:highlight w:val="none"/>
          <w:lang w:eastAsia="zh-CN"/>
        </w:rPr>
        <w:t>集美</w:t>
      </w:r>
      <w:r>
        <w:rPr>
          <w:rFonts w:hint="eastAsia" w:ascii="仿宋" w:hAnsi="仿宋" w:eastAsia="仿宋" w:cs="仿宋"/>
          <w:color w:val="auto"/>
          <w:sz w:val="32"/>
          <w:szCs w:val="32"/>
          <w:highlight w:val="none"/>
        </w:rPr>
        <w:t>创新券</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其中，</w:t>
      </w:r>
      <w:r>
        <w:rPr>
          <w:rFonts w:hint="eastAsia" w:ascii="仿宋" w:hAnsi="仿宋" w:eastAsia="仿宋" w:cs="仿宋"/>
          <w:color w:val="auto"/>
          <w:sz w:val="32"/>
          <w:szCs w:val="32"/>
          <w:highlight w:val="none"/>
          <w:lang w:eastAsia="zh-CN"/>
        </w:rPr>
        <w:t>服务机构属于集美区企业的</w:t>
      </w:r>
      <w:r>
        <w:rPr>
          <w:rFonts w:hint="eastAsia" w:ascii="仿宋" w:hAnsi="仿宋" w:eastAsia="仿宋" w:cs="仿宋"/>
          <w:color w:val="auto"/>
          <w:sz w:val="32"/>
          <w:szCs w:val="32"/>
          <w:highlight w:val="none"/>
        </w:rPr>
        <w:t>最高可抵扣合同应付金额的40%</w:t>
      </w:r>
      <w:r>
        <w:rPr>
          <w:rFonts w:hint="eastAsia" w:ascii="仿宋" w:hAnsi="仿宋" w:eastAsia="仿宋" w:cs="仿宋"/>
          <w:color w:val="auto"/>
          <w:sz w:val="32"/>
          <w:szCs w:val="32"/>
          <w:highlight w:val="none"/>
          <w:lang w:eastAsia="zh-CN"/>
        </w:rPr>
        <w:t>，服务机构属于非集美区企业的</w:t>
      </w:r>
      <w:r>
        <w:rPr>
          <w:rFonts w:hint="eastAsia" w:ascii="仿宋" w:hAnsi="仿宋" w:eastAsia="仿宋" w:cs="仿宋"/>
          <w:color w:val="auto"/>
          <w:sz w:val="32"/>
          <w:szCs w:val="32"/>
          <w:highlight w:val="none"/>
        </w:rPr>
        <w:t>最高可抵扣合同应付金额的</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%。单家企业每年创新券额度按其上一年度营业收入核定。</w:t>
      </w:r>
    </w:p>
    <w:tbl>
      <w:tblPr>
        <w:tblStyle w:val="7"/>
        <w:tblW w:w="85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597"/>
        <w:gridCol w:w="2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5" w:hRule="atLeast"/>
          <w:jc w:val="center"/>
        </w:trPr>
        <w:tc>
          <w:tcPr>
            <w:tcW w:w="55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企业情况</w:t>
            </w:r>
          </w:p>
        </w:tc>
        <w:tc>
          <w:tcPr>
            <w:tcW w:w="29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创新券额度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85" w:hRule="atLeast"/>
          <w:jc w:val="center"/>
        </w:trPr>
        <w:tc>
          <w:tcPr>
            <w:tcW w:w="559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上一年度营业收入大于1亿元（含）</w:t>
            </w:r>
          </w:p>
        </w:tc>
        <w:tc>
          <w:tcPr>
            <w:tcW w:w="292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jc w:val="center"/>
        </w:trPr>
        <w:tc>
          <w:tcPr>
            <w:tcW w:w="559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上一年度营业收入大于2000万元（含）且小于1亿元</w:t>
            </w:r>
          </w:p>
        </w:tc>
        <w:tc>
          <w:tcPr>
            <w:tcW w:w="292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10万元</w:t>
            </w:r>
          </w:p>
        </w:tc>
      </w:tr>
    </w:tbl>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（二）鼓励国家级高新技术企业。</w:t>
      </w:r>
      <w:r>
        <w:rPr>
          <w:rFonts w:hint="eastAsia" w:ascii="仿宋" w:hAnsi="仿宋" w:eastAsia="仿宋" w:cs="仿宋"/>
          <w:color w:val="auto"/>
          <w:sz w:val="32"/>
          <w:szCs w:val="32"/>
          <w:highlight w:val="none"/>
          <w:lang w:val="en-US" w:eastAsia="zh-CN"/>
        </w:rPr>
        <w:t>按照《关于进一步优化高新技术企业扶持政策的通知》（厦集工信规〔2022〕1号），首次认定及重新认定通过的国家级高新技术企业给予10万元奖励。对于上年度营收2000万元及以上的规模以上企业，首次通过国家级高新技术企业认定，叠加后给予30万元奖励；通过重新认定，叠加后给予20万元奖励。对资格有效期内，整体从市域外迁入集美区且迁入后一年内或迁入后的下一个会计年度营收达到2000万元及以上的国家级高新技术企业给予一次性100万元区级搬迁奖励。</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楷体" w:hAnsi="楷体" w:eastAsia="楷体" w:cs="楷体"/>
          <w:b w:val="0"/>
          <w:bCs w:val="0"/>
          <w:color w:val="auto"/>
          <w:sz w:val="32"/>
          <w:szCs w:val="32"/>
          <w:highlight w:val="none"/>
          <w:lang w:val="en-US" w:eastAsia="zh-CN"/>
        </w:rPr>
        <w:t>（三）支持企业建设研发机构。</w:t>
      </w:r>
      <w:r>
        <w:rPr>
          <w:rFonts w:hint="eastAsia" w:ascii="仿宋" w:hAnsi="仿宋" w:eastAsia="仿宋" w:cs="仿宋"/>
          <w:color w:val="auto"/>
          <w:sz w:val="32"/>
          <w:szCs w:val="32"/>
          <w:highlight w:val="none"/>
          <w:lang w:eastAsia="zh-CN"/>
        </w:rPr>
        <w:t>集美区企业当年度设立且经认定批准的重点（工程）实验室、工程(技术)研究中心、技术创新中心、企业技术中心、博士后科研工作站，分别按照国家级（补足）200万元、省级（补足）150万元、市级100万元的标准给予一次性奖励。</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楷体" w:hAnsi="楷体" w:eastAsia="楷体" w:cs="楷体"/>
          <w:b w:val="0"/>
          <w:bCs w:val="0"/>
          <w:color w:val="auto"/>
          <w:sz w:val="32"/>
          <w:szCs w:val="32"/>
          <w:highlight w:val="none"/>
          <w:lang w:val="en-US" w:eastAsia="zh-CN"/>
        </w:rPr>
        <w:t>（四）推动自主研发项目攻关。</w:t>
      </w:r>
      <w:r>
        <w:rPr>
          <w:rFonts w:hint="eastAsia" w:ascii="仿宋" w:hAnsi="仿宋" w:eastAsia="仿宋" w:cs="仿宋"/>
          <w:color w:val="auto"/>
          <w:sz w:val="32"/>
          <w:szCs w:val="32"/>
          <w:highlight w:val="none"/>
          <w:lang w:eastAsia="zh-CN"/>
        </w:rPr>
        <w:t>积极支持集美区企业争取国家、省、市级相关科技部门科技项目，立项并通过验收后按上级部门当年度核拨的扶持资金给予一定比例的区级配套奖励，其中国家级按30%奖励、省级按20%奖励、市级按10%奖励，单个项目最高奖励额100万元，每家企业每年最高奖励额度200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b w:val="0"/>
          <w:bCs w:val="0"/>
          <w:color w:val="auto"/>
          <w:sz w:val="32"/>
          <w:szCs w:val="32"/>
          <w:highlight w:val="none"/>
        </w:rPr>
      </w:pPr>
      <w:r>
        <w:rPr>
          <w:rFonts w:hint="eastAsia" w:ascii="楷体" w:hAnsi="楷体" w:eastAsia="楷体" w:cs="楷体"/>
          <w:b w:val="0"/>
          <w:bCs w:val="0"/>
          <w:color w:val="auto"/>
          <w:sz w:val="32"/>
          <w:szCs w:val="32"/>
          <w:highlight w:val="none"/>
          <w:lang w:val="en-US" w:eastAsia="zh-CN"/>
        </w:rPr>
        <w:t>（五）激发人才创新活力。</w:t>
      </w:r>
      <w:r>
        <w:rPr>
          <w:rFonts w:hint="eastAsia" w:ascii="仿宋" w:hAnsi="仿宋" w:eastAsia="仿宋" w:cs="仿宋"/>
          <w:color w:val="auto"/>
          <w:sz w:val="32"/>
          <w:szCs w:val="32"/>
          <w:highlight w:val="none"/>
          <w:lang w:eastAsia="zh-CN"/>
        </w:rPr>
        <w:t>集美区企业人才当年度获得国家科学技术进步特等奖、一、 二等奖的，分别一次性给予成果完成团队50 万元、20 万元、10 万元的奖励。获得省市级科学技术进步一、二、三等奖的，分别一次性给予成果完成团队 10 万元、5 万元、3 万元的奖励。</w:t>
      </w:r>
      <w:r>
        <w:rPr>
          <w:rFonts w:hint="eastAsia" w:ascii="仿宋" w:hAnsi="仿宋" w:eastAsia="仿宋" w:cs="仿宋"/>
          <w:color w:val="auto"/>
          <w:sz w:val="32"/>
          <w:szCs w:val="32"/>
          <w:highlight w:val="none"/>
          <w:lang w:val="en-US" w:eastAsia="zh-CN"/>
        </w:rPr>
        <w:t>2023年，</w:t>
      </w:r>
      <w:r>
        <w:rPr>
          <w:rFonts w:hint="eastAsia" w:ascii="仿宋" w:hAnsi="仿宋" w:eastAsia="仿宋" w:cs="仿宋"/>
          <w:color w:val="auto"/>
          <w:sz w:val="32"/>
          <w:szCs w:val="32"/>
          <w:highlight w:val="none"/>
          <w:lang w:eastAsia="zh-CN"/>
        </w:rPr>
        <w:t>集美区企业人才对集经济贡献高于5万元的，按其工薪所得的5</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eastAsia="zh-CN"/>
        </w:rPr>
        <w:t>及股息红利和股权转让所得的3%给予奖励，最高不超过对集经济贡献的90%。</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楷体" w:hAnsi="楷体" w:eastAsia="楷体" w:cs="楷体"/>
          <w:b w:val="0"/>
          <w:bCs w:val="0"/>
          <w:color w:val="auto"/>
          <w:sz w:val="32"/>
          <w:szCs w:val="32"/>
          <w:highlight w:val="none"/>
          <w:lang w:val="en-US" w:eastAsia="zh-CN"/>
        </w:rPr>
        <w:t>（六）支持百名青年教师进百企。</w:t>
      </w:r>
      <w:r>
        <w:rPr>
          <w:rFonts w:hint="eastAsia" w:ascii="仿宋" w:hAnsi="仿宋" w:eastAsia="仿宋" w:cs="仿宋"/>
          <w:b w:val="0"/>
          <w:bCs w:val="0"/>
          <w:color w:val="auto"/>
          <w:sz w:val="32"/>
          <w:szCs w:val="32"/>
          <w:highlight w:val="none"/>
          <w:lang w:eastAsia="zh-CN"/>
        </w:rPr>
        <w:t>按照《青年博士教师进企业和建设校企研究生工作站的行动方案（2022-2025）》（厦集文教管〔2022〕11号），符合条件的企业可申报备案，待</w:t>
      </w:r>
      <w:r>
        <w:rPr>
          <w:rFonts w:hint="eastAsia" w:ascii="仿宋" w:hAnsi="仿宋" w:eastAsia="仿宋" w:cs="仿宋"/>
          <w:color w:val="auto"/>
          <w:sz w:val="32"/>
          <w:szCs w:val="32"/>
          <w:highlight w:val="none"/>
          <w:lang w:eastAsia="zh-CN"/>
        </w:rPr>
        <w:t>高校青年</w:t>
      </w:r>
      <w:r>
        <w:rPr>
          <w:rFonts w:hint="eastAsia" w:ascii="仿宋" w:hAnsi="仿宋" w:eastAsia="仿宋" w:cs="仿宋"/>
          <w:color w:val="auto"/>
          <w:sz w:val="32"/>
          <w:szCs w:val="32"/>
          <w:highlight w:val="none"/>
          <w:lang w:val="en-US" w:eastAsia="zh-CN"/>
        </w:rPr>
        <w:t>博士</w:t>
      </w:r>
      <w:r>
        <w:rPr>
          <w:rFonts w:hint="eastAsia" w:ascii="仿宋" w:hAnsi="仿宋" w:eastAsia="仿宋" w:cs="仿宋"/>
          <w:color w:val="auto"/>
          <w:sz w:val="32"/>
          <w:szCs w:val="32"/>
          <w:highlight w:val="none"/>
          <w:lang w:eastAsia="zh-CN"/>
        </w:rPr>
        <w:t>教师完成企业交付的既定工作任务，且经企业认定考核通过后提出申请，按照企业实际支付青年博士教师年报酬的50%给予扶持补助，最高不超过5万元/年/人，扶持补助期1年，每家企业申请补助每年不超过2人。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（七）支持百家企业建百站。</w:t>
      </w:r>
      <w:r>
        <w:rPr>
          <w:rFonts w:hint="eastAsia" w:ascii="仿宋" w:hAnsi="仿宋" w:eastAsia="仿宋" w:cs="仿宋"/>
          <w:b w:val="0"/>
          <w:bCs w:val="0"/>
          <w:color w:val="auto"/>
          <w:sz w:val="32"/>
          <w:szCs w:val="32"/>
          <w:highlight w:val="none"/>
          <w:lang w:eastAsia="zh-CN"/>
        </w:rPr>
        <w:t>按照《青年博士教师进企业和建设校企研究生工作站的行动方案（2022-2025）》（厦集文教管〔2022〕11号），</w:t>
      </w:r>
      <w:r>
        <w:rPr>
          <w:rFonts w:hint="eastAsia" w:ascii="仿宋" w:hAnsi="仿宋" w:eastAsia="仿宋" w:cs="仿宋"/>
          <w:color w:val="auto"/>
          <w:sz w:val="32"/>
          <w:szCs w:val="32"/>
          <w:highlight w:val="none"/>
          <w:lang w:eastAsia="zh-CN"/>
        </w:rPr>
        <w:t>根据设站企业每年和联盟单位研究生导师签订的科研合同情况，政府按校（院所）方实际到账经费予以企业补助，第一笔补助50%，第二笔及以后补助30%，笔数不限，累计补助金额不超过10万元/年。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二</w:t>
      </w:r>
      <w:r>
        <w:rPr>
          <w:rFonts w:hint="eastAsia" w:ascii="黑体" w:hAnsi="黑体" w:eastAsia="黑体" w:cs="黑体"/>
          <w:b w:val="0"/>
          <w:bCs w:val="0"/>
          <w:color w:val="auto"/>
          <w:sz w:val="32"/>
          <w:szCs w:val="32"/>
          <w:highlight w:val="none"/>
        </w:rPr>
        <w:t>、鼓励</w:t>
      </w:r>
      <w:r>
        <w:rPr>
          <w:rFonts w:hint="eastAsia" w:ascii="黑体" w:hAnsi="黑体" w:eastAsia="黑体" w:cs="黑体"/>
          <w:b w:val="0"/>
          <w:bCs w:val="0"/>
          <w:color w:val="auto"/>
          <w:sz w:val="32"/>
          <w:szCs w:val="32"/>
          <w:highlight w:val="none"/>
          <w:lang w:eastAsia="zh-CN"/>
        </w:rPr>
        <w:t>软件</w:t>
      </w:r>
      <w:r>
        <w:rPr>
          <w:rFonts w:hint="eastAsia" w:ascii="黑体" w:hAnsi="黑体" w:eastAsia="黑体" w:cs="黑体"/>
          <w:b w:val="0"/>
          <w:bCs w:val="0"/>
          <w:color w:val="auto"/>
          <w:sz w:val="32"/>
          <w:szCs w:val="32"/>
          <w:highlight w:val="none"/>
        </w:rPr>
        <w:t>企业发展壮大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b/>
          <w:bCs/>
          <w:color w:val="auto"/>
          <w:sz w:val="32"/>
          <w:szCs w:val="32"/>
          <w:highlight w:val="none"/>
        </w:rPr>
      </w:pPr>
      <w:r>
        <w:rPr>
          <w:rFonts w:hint="eastAsia" w:ascii="楷体" w:hAnsi="楷体" w:eastAsia="楷体" w:cs="楷体"/>
          <w:b w:val="0"/>
          <w:bCs w:val="0"/>
          <w:color w:val="auto"/>
          <w:sz w:val="32"/>
          <w:szCs w:val="32"/>
          <w:highlight w:val="none"/>
          <w:lang w:val="en-US" w:eastAsia="zh-CN"/>
        </w:rPr>
        <w:t>（八）给予上规模奖励。</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eastAsia="zh-CN"/>
        </w:rPr>
        <w:t>当年度</w:t>
      </w:r>
      <w:r>
        <w:rPr>
          <w:rFonts w:hint="eastAsia" w:ascii="仿宋" w:hAnsi="仿宋" w:eastAsia="仿宋" w:cs="仿宋"/>
          <w:color w:val="auto"/>
          <w:sz w:val="32"/>
          <w:szCs w:val="32"/>
          <w:highlight w:val="none"/>
        </w:rPr>
        <w:t>首次</w:t>
      </w:r>
      <w:r>
        <w:rPr>
          <w:rFonts w:hint="eastAsia" w:ascii="仿宋" w:hAnsi="仿宋" w:eastAsia="仿宋" w:cs="仿宋"/>
          <w:color w:val="auto"/>
          <w:sz w:val="32"/>
          <w:szCs w:val="32"/>
          <w:highlight w:val="none"/>
          <w:lang w:eastAsia="zh-CN"/>
        </w:rPr>
        <w:t>纳统归属集美区的软件和信息服务业</w:t>
      </w:r>
      <w:r>
        <w:rPr>
          <w:rFonts w:hint="eastAsia" w:ascii="仿宋" w:hAnsi="仿宋" w:eastAsia="仿宋" w:cs="仿宋"/>
          <w:color w:val="auto"/>
          <w:sz w:val="32"/>
          <w:szCs w:val="32"/>
          <w:highlight w:val="none"/>
        </w:rPr>
        <w:t>，给予</w:t>
      </w: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万元奖励；翌年</w:t>
      </w:r>
      <w:r>
        <w:rPr>
          <w:rFonts w:hint="eastAsia" w:ascii="仿宋" w:hAnsi="仿宋" w:eastAsia="仿宋" w:cs="仿宋"/>
          <w:color w:val="auto"/>
          <w:sz w:val="32"/>
          <w:szCs w:val="32"/>
          <w:highlight w:val="none"/>
          <w:lang w:val="en-US" w:eastAsia="zh-CN"/>
        </w:rPr>
        <w:t>1-11月企业</w:t>
      </w:r>
      <w:r>
        <w:rPr>
          <w:rFonts w:hint="eastAsia" w:ascii="仿宋" w:hAnsi="仿宋" w:eastAsia="仿宋" w:cs="仿宋"/>
          <w:color w:val="auto"/>
          <w:sz w:val="32"/>
          <w:szCs w:val="32"/>
          <w:highlight w:val="none"/>
        </w:rPr>
        <w:t>营业收入</w:t>
      </w:r>
      <w:r>
        <w:rPr>
          <w:rFonts w:hint="eastAsia" w:ascii="仿宋" w:hAnsi="仿宋" w:eastAsia="仿宋" w:cs="仿宋"/>
          <w:color w:val="auto"/>
          <w:sz w:val="32"/>
          <w:szCs w:val="32"/>
          <w:highlight w:val="none"/>
          <w:lang w:val="en-US" w:eastAsia="zh-CN"/>
        </w:rPr>
        <w:t>同比增速高于20</w:t>
      </w:r>
      <w:r>
        <w:rPr>
          <w:rFonts w:hint="eastAsia" w:ascii="仿宋" w:hAnsi="仿宋" w:eastAsia="仿宋" w:cs="仿宋"/>
          <w:color w:val="auto"/>
          <w:sz w:val="32"/>
          <w:szCs w:val="32"/>
          <w:highlight w:val="none"/>
        </w:rPr>
        <w:t>%（含）的，给予10万元奖励。每家企业仅可享受一次，单家企业累计奖励总额不超过</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（九）鼓励企业增产增效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1.企业增量奖励。</w:t>
      </w:r>
      <w:r>
        <w:rPr>
          <w:rFonts w:hint="eastAsia" w:ascii="仿宋" w:hAnsi="仿宋" w:eastAsia="仿宋" w:cs="仿宋"/>
          <w:color w:val="auto"/>
          <w:sz w:val="32"/>
          <w:szCs w:val="32"/>
          <w:highlight w:val="none"/>
        </w:rPr>
        <w:t>入统集美区软件和信息服务业的企业，若当年度1-11月的营业收入增量（同比去年同期，下同）达到1000万元（含）以上，则按超额累计测算奖励：（1）增量5000万元以内</w:t>
      </w:r>
      <w:r>
        <w:rPr>
          <w:rFonts w:hint="eastAsia" w:ascii="仿宋" w:hAnsi="仿宋" w:eastAsia="仿宋" w:cs="仿宋"/>
          <w:color w:val="auto"/>
          <w:sz w:val="32"/>
          <w:szCs w:val="32"/>
          <w:highlight w:val="none"/>
          <w:lang w:eastAsia="zh-CN"/>
        </w:rPr>
        <w:t>部分</w:t>
      </w:r>
      <w:r>
        <w:rPr>
          <w:rFonts w:hint="eastAsia" w:ascii="仿宋" w:hAnsi="仿宋" w:eastAsia="仿宋" w:cs="仿宋"/>
          <w:color w:val="auto"/>
          <w:sz w:val="32"/>
          <w:szCs w:val="32"/>
          <w:highlight w:val="none"/>
        </w:rPr>
        <w:t>。增速</w:t>
      </w:r>
      <w:r>
        <w:rPr>
          <w:rFonts w:hint="eastAsia" w:ascii="仿宋" w:hAnsi="仿宋" w:eastAsia="仿宋" w:cs="仿宋"/>
          <w:color w:val="auto"/>
          <w:sz w:val="32"/>
          <w:szCs w:val="32"/>
          <w:highlight w:val="none"/>
          <w:lang w:eastAsia="zh-CN"/>
        </w:rPr>
        <w:t>（同比去年同期，下同）</w:t>
      </w:r>
      <w:r>
        <w:rPr>
          <w:rFonts w:hint="eastAsia" w:ascii="仿宋" w:hAnsi="仿宋" w:eastAsia="仿宋" w:cs="仿宋"/>
          <w:color w:val="auto"/>
          <w:sz w:val="32"/>
          <w:szCs w:val="32"/>
          <w:highlight w:val="none"/>
        </w:rPr>
        <w:t>高于</w:t>
      </w:r>
      <w:r>
        <w:rPr>
          <w:rFonts w:hint="eastAsia" w:ascii="仿宋" w:hAnsi="仿宋" w:eastAsia="仿宋" w:cs="仿宋"/>
          <w:color w:val="auto"/>
          <w:sz w:val="32"/>
          <w:szCs w:val="32"/>
          <w:highlight w:val="none"/>
          <w:lang w:val="en-US" w:eastAsia="zh-CN"/>
        </w:rPr>
        <w:t>50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（含）</w:t>
      </w:r>
      <w:r>
        <w:rPr>
          <w:rFonts w:hint="eastAsia" w:ascii="仿宋" w:hAnsi="仿宋" w:eastAsia="仿宋" w:cs="仿宋"/>
          <w:color w:val="auto"/>
          <w:sz w:val="32"/>
          <w:szCs w:val="32"/>
          <w:highlight w:val="none"/>
        </w:rPr>
        <w:t>的按</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‰测算奖励，增速</w:t>
      </w:r>
      <w:r>
        <w:rPr>
          <w:rFonts w:hint="eastAsia" w:ascii="仿宋" w:hAnsi="仿宋" w:eastAsia="仿宋" w:cs="仿宋"/>
          <w:color w:val="auto"/>
          <w:sz w:val="32"/>
          <w:szCs w:val="32"/>
          <w:highlight w:val="none"/>
          <w:lang w:eastAsia="zh-CN"/>
        </w:rPr>
        <w:t>高于</w:t>
      </w:r>
      <w:r>
        <w:rPr>
          <w:rFonts w:hint="eastAsia" w:ascii="仿宋" w:hAnsi="仿宋" w:eastAsia="仿宋" w:cs="仿宋"/>
          <w:color w:val="auto"/>
          <w:sz w:val="32"/>
          <w:szCs w:val="32"/>
          <w:highlight w:val="none"/>
          <w:lang w:val="en-US" w:eastAsia="zh-CN"/>
        </w:rPr>
        <w:t>25%（含）但</w:t>
      </w:r>
      <w:r>
        <w:rPr>
          <w:rFonts w:hint="eastAsia" w:ascii="仿宋" w:hAnsi="仿宋" w:eastAsia="仿宋" w:cs="仿宋"/>
          <w:color w:val="auto"/>
          <w:sz w:val="32"/>
          <w:szCs w:val="32"/>
          <w:highlight w:val="none"/>
        </w:rPr>
        <w:t>低于</w:t>
      </w:r>
      <w:r>
        <w:rPr>
          <w:rFonts w:hint="eastAsia" w:ascii="仿宋" w:hAnsi="仿宋" w:eastAsia="仿宋" w:cs="仿宋"/>
          <w:color w:val="auto"/>
          <w:sz w:val="32"/>
          <w:szCs w:val="32"/>
          <w:highlight w:val="none"/>
          <w:lang w:val="en-US" w:eastAsia="zh-CN"/>
        </w:rPr>
        <w:t>50</w:t>
      </w:r>
      <w:r>
        <w:rPr>
          <w:rFonts w:hint="eastAsia" w:ascii="仿宋" w:hAnsi="仿宋" w:eastAsia="仿宋" w:cs="仿宋"/>
          <w:color w:val="auto"/>
          <w:sz w:val="32"/>
          <w:szCs w:val="32"/>
          <w:highlight w:val="none"/>
        </w:rPr>
        <w:t>%的按</w:t>
      </w: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‰测算奖励；（2）增量5000万元（含）-</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亿元部分。增速高于</w:t>
      </w:r>
      <w:r>
        <w:rPr>
          <w:rFonts w:hint="eastAsia" w:ascii="仿宋" w:hAnsi="仿宋" w:eastAsia="仿宋" w:cs="仿宋"/>
          <w:color w:val="auto"/>
          <w:sz w:val="32"/>
          <w:szCs w:val="32"/>
          <w:highlight w:val="none"/>
          <w:lang w:val="en-US" w:eastAsia="zh-CN"/>
        </w:rPr>
        <w:t>50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（含）</w:t>
      </w:r>
      <w:r>
        <w:rPr>
          <w:rFonts w:hint="eastAsia" w:ascii="仿宋" w:hAnsi="仿宋" w:eastAsia="仿宋" w:cs="仿宋"/>
          <w:color w:val="auto"/>
          <w:sz w:val="32"/>
          <w:szCs w:val="32"/>
          <w:highlight w:val="none"/>
        </w:rPr>
        <w:t>的按</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‰测算奖励，</w:t>
      </w:r>
      <w:r>
        <w:rPr>
          <w:rFonts w:hint="eastAsia" w:ascii="仿宋" w:hAnsi="仿宋" w:eastAsia="仿宋" w:cs="仿宋"/>
          <w:color w:val="auto"/>
          <w:sz w:val="32"/>
          <w:szCs w:val="32"/>
          <w:highlight w:val="none"/>
          <w:lang w:eastAsia="zh-CN"/>
        </w:rPr>
        <w:t>高于</w:t>
      </w:r>
      <w:r>
        <w:rPr>
          <w:rFonts w:hint="eastAsia" w:ascii="仿宋" w:hAnsi="仿宋" w:eastAsia="仿宋" w:cs="仿宋"/>
          <w:color w:val="auto"/>
          <w:sz w:val="32"/>
          <w:szCs w:val="32"/>
          <w:highlight w:val="none"/>
          <w:lang w:val="en-US" w:eastAsia="zh-CN"/>
        </w:rPr>
        <w:t>25%（含）但</w:t>
      </w:r>
      <w:r>
        <w:rPr>
          <w:rFonts w:hint="eastAsia" w:ascii="仿宋" w:hAnsi="仿宋" w:eastAsia="仿宋" w:cs="仿宋"/>
          <w:color w:val="auto"/>
          <w:sz w:val="32"/>
          <w:szCs w:val="32"/>
          <w:highlight w:val="none"/>
        </w:rPr>
        <w:t>低于</w:t>
      </w:r>
      <w:r>
        <w:rPr>
          <w:rFonts w:hint="eastAsia" w:ascii="仿宋" w:hAnsi="仿宋" w:eastAsia="仿宋" w:cs="仿宋"/>
          <w:color w:val="auto"/>
          <w:sz w:val="32"/>
          <w:szCs w:val="32"/>
          <w:highlight w:val="none"/>
          <w:lang w:val="en-US" w:eastAsia="zh-CN"/>
        </w:rPr>
        <w:t>50</w:t>
      </w:r>
      <w:r>
        <w:rPr>
          <w:rFonts w:hint="eastAsia" w:ascii="仿宋" w:hAnsi="仿宋" w:eastAsia="仿宋" w:cs="仿宋"/>
          <w:color w:val="auto"/>
          <w:sz w:val="32"/>
          <w:szCs w:val="32"/>
          <w:highlight w:val="none"/>
        </w:rPr>
        <w:t>%的按</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‰测算奖励；（3）增量</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亿（含）-</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亿元部分。增速高于</w:t>
      </w:r>
      <w:r>
        <w:rPr>
          <w:rFonts w:hint="eastAsia" w:ascii="仿宋" w:hAnsi="仿宋" w:eastAsia="仿宋" w:cs="仿宋"/>
          <w:color w:val="auto"/>
          <w:sz w:val="32"/>
          <w:szCs w:val="32"/>
          <w:highlight w:val="none"/>
          <w:lang w:val="en-US" w:eastAsia="zh-CN"/>
        </w:rPr>
        <w:t>50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（含）</w:t>
      </w:r>
      <w:r>
        <w:rPr>
          <w:rFonts w:hint="eastAsia" w:ascii="仿宋" w:hAnsi="仿宋" w:eastAsia="仿宋" w:cs="仿宋"/>
          <w:color w:val="auto"/>
          <w:sz w:val="32"/>
          <w:szCs w:val="32"/>
          <w:highlight w:val="none"/>
        </w:rPr>
        <w:t>的按</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‰测算奖励，增速</w:t>
      </w:r>
      <w:r>
        <w:rPr>
          <w:rFonts w:hint="eastAsia" w:ascii="仿宋" w:hAnsi="仿宋" w:eastAsia="仿宋" w:cs="仿宋"/>
          <w:color w:val="auto"/>
          <w:sz w:val="32"/>
          <w:szCs w:val="32"/>
          <w:highlight w:val="none"/>
          <w:lang w:eastAsia="zh-CN"/>
        </w:rPr>
        <w:t>高于</w:t>
      </w:r>
      <w:r>
        <w:rPr>
          <w:rFonts w:hint="eastAsia" w:ascii="仿宋" w:hAnsi="仿宋" w:eastAsia="仿宋" w:cs="仿宋"/>
          <w:color w:val="auto"/>
          <w:sz w:val="32"/>
          <w:szCs w:val="32"/>
          <w:highlight w:val="none"/>
          <w:lang w:val="en-US" w:eastAsia="zh-CN"/>
        </w:rPr>
        <w:t>25%（含）但</w:t>
      </w:r>
      <w:r>
        <w:rPr>
          <w:rFonts w:hint="eastAsia" w:ascii="仿宋" w:hAnsi="仿宋" w:eastAsia="仿宋" w:cs="仿宋"/>
          <w:color w:val="auto"/>
          <w:sz w:val="32"/>
          <w:szCs w:val="32"/>
          <w:highlight w:val="none"/>
        </w:rPr>
        <w:t>低于</w:t>
      </w:r>
      <w:r>
        <w:rPr>
          <w:rFonts w:hint="eastAsia" w:ascii="仿宋" w:hAnsi="仿宋" w:eastAsia="仿宋" w:cs="仿宋"/>
          <w:color w:val="auto"/>
          <w:sz w:val="32"/>
          <w:szCs w:val="32"/>
          <w:highlight w:val="none"/>
          <w:lang w:val="en-US" w:eastAsia="zh-CN"/>
        </w:rPr>
        <w:t>50</w:t>
      </w:r>
      <w:r>
        <w:rPr>
          <w:rFonts w:hint="eastAsia" w:ascii="仿宋" w:hAnsi="仿宋" w:eastAsia="仿宋" w:cs="仿宋"/>
          <w:color w:val="auto"/>
          <w:sz w:val="32"/>
          <w:szCs w:val="32"/>
          <w:highlight w:val="none"/>
        </w:rPr>
        <w:t>%的按</w:t>
      </w:r>
      <w:r>
        <w:rPr>
          <w:rFonts w:hint="eastAsia" w:ascii="仿宋" w:hAnsi="仿宋" w:eastAsia="仿宋" w:cs="仿宋"/>
          <w:color w:val="auto"/>
          <w:sz w:val="32"/>
          <w:szCs w:val="32"/>
          <w:highlight w:val="none"/>
          <w:lang w:val="en-US" w:eastAsia="zh-CN"/>
        </w:rPr>
        <w:t>3.5</w:t>
      </w:r>
      <w:r>
        <w:rPr>
          <w:rFonts w:hint="eastAsia" w:ascii="仿宋" w:hAnsi="仿宋" w:eastAsia="仿宋" w:cs="仿宋"/>
          <w:color w:val="auto"/>
          <w:sz w:val="32"/>
          <w:szCs w:val="32"/>
          <w:highlight w:val="none"/>
        </w:rPr>
        <w:t>‰测算奖励；（4）增量</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亿元及以上部分。增速高于</w:t>
      </w:r>
      <w:r>
        <w:rPr>
          <w:rFonts w:hint="eastAsia" w:ascii="仿宋" w:hAnsi="仿宋" w:eastAsia="仿宋" w:cs="仿宋"/>
          <w:color w:val="auto"/>
          <w:sz w:val="32"/>
          <w:szCs w:val="32"/>
          <w:highlight w:val="none"/>
          <w:lang w:val="en-US" w:eastAsia="zh-CN"/>
        </w:rPr>
        <w:t>50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（含）</w:t>
      </w:r>
      <w:r>
        <w:rPr>
          <w:rFonts w:hint="eastAsia" w:ascii="仿宋" w:hAnsi="仿宋" w:eastAsia="仿宋" w:cs="仿宋"/>
          <w:color w:val="auto"/>
          <w:sz w:val="32"/>
          <w:szCs w:val="32"/>
          <w:highlight w:val="none"/>
        </w:rPr>
        <w:t>的按</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‰测算奖励，增速</w:t>
      </w:r>
      <w:r>
        <w:rPr>
          <w:rFonts w:hint="eastAsia" w:ascii="仿宋" w:hAnsi="仿宋" w:eastAsia="仿宋" w:cs="仿宋"/>
          <w:color w:val="auto"/>
          <w:sz w:val="32"/>
          <w:szCs w:val="32"/>
          <w:highlight w:val="none"/>
          <w:lang w:eastAsia="zh-CN"/>
        </w:rPr>
        <w:t>高于</w:t>
      </w:r>
      <w:r>
        <w:rPr>
          <w:rFonts w:hint="eastAsia" w:ascii="仿宋" w:hAnsi="仿宋" w:eastAsia="仿宋" w:cs="仿宋"/>
          <w:color w:val="auto"/>
          <w:sz w:val="32"/>
          <w:szCs w:val="32"/>
          <w:highlight w:val="none"/>
          <w:lang w:val="en-US" w:eastAsia="zh-CN"/>
        </w:rPr>
        <w:t>25%（含）但</w:t>
      </w:r>
      <w:r>
        <w:rPr>
          <w:rFonts w:hint="eastAsia" w:ascii="仿宋" w:hAnsi="仿宋" w:eastAsia="仿宋" w:cs="仿宋"/>
          <w:color w:val="auto"/>
          <w:sz w:val="32"/>
          <w:szCs w:val="32"/>
          <w:highlight w:val="none"/>
        </w:rPr>
        <w:t>低于</w:t>
      </w:r>
      <w:r>
        <w:rPr>
          <w:rFonts w:hint="eastAsia" w:ascii="仿宋" w:hAnsi="仿宋" w:eastAsia="仿宋" w:cs="仿宋"/>
          <w:color w:val="auto"/>
          <w:sz w:val="32"/>
          <w:szCs w:val="32"/>
          <w:highlight w:val="none"/>
          <w:lang w:val="en-US" w:eastAsia="zh-CN"/>
        </w:rPr>
        <w:t>50</w:t>
      </w:r>
      <w:r>
        <w:rPr>
          <w:rFonts w:hint="eastAsia" w:ascii="仿宋" w:hAnsi="仿宋" w:eastAsia="仿宋" w:cs="仿宋"/>
          <w:color w:val="auto"/>
          <w:sz w:val="32"/>
          <w:szCs w:val="32"/>
          <w:highlight w:val="none"/>
        </w:rPr>
        <w:t>%的按</w:t>
      </w:r>
      <w:r>
        <w:rPr>
          <w:rFonts w:hint="eastAsia" w:ascii="仿宋" w:hAnsi="仿宋" w:eastAsia="仿宋" w:cs="仿宋"/>
          <w:color w:val="auto"/>
          <w:sz w:val="32"/>
          <w:szCs w:val="32"/>
          <w:highlight w:val="none"/>
          <w:lang w:val="en-US" w:eastAsia="zh-CN"/>
        </w:rPr>
        <w:t>4.5</w:t>
      </w:r>
      <w:r>
        <w:rPr>
          <w:rFonts w:hint="eastAsia" w:ascii="仿宋" w:hAnsi="仿宋" w:eastAsia="仿宋" w:cs="仿宋"/>
          <w:color w:val="auto"/>
          <w:sz w:val="32"/>
          <w:szCs w:val="32"/>
          <w:highlight w:val="none"/>
        </w:rPr>
        <w:t>‰测算奖励</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5）增量1000万元以上但</w:t>
      </w:r>
      <w:r>
        <w:rPr>
          <w:rFonts w:hint="eastAsia" w:ascii="仿宋" w:hAnsi="仿宋" w:eastAsia="仿宋" w:cs="仿宋"/>
          <w:color w:val="auto"/>
          <w:sz w:val="32"/>
          <w:szCs w:val="32"/>
          <w:highlight w:val="none"/>
        </w:rPr>
        <w:t>增速低于</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%的按</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‰测算奖励</w:t>
      </w:r>
      <w:r>
        <w:rPr>
          <w:rFonts w:hint="eastAsia" w:ascii="仿宋" w:hAnsi="仿宋" w:eastAsia="仿宋" w:cs="仿宋"/>
          <w:color w:val="auto"/>
          <w:sz w:val="32"/>
          <w:szCs w:val="32"/>
          <w:highlight w:val="none"/>
          <w:lang w:eastAsia="zh-CN"/>
        </w:rPr>
        <w:t>。单家企业</w:t>
      </w:r>
      <w:r>
        <w:rPr>
          <w:rFonts w:hint="eastAsia" w:ascii="仿宋" w:hAnsi="仿宋" w:eastAsia="仿宋" w:cs="仿宋"/>
          <w:color w:val="auto"/>
          <w:sz w:val="32"/>
          <w:szCs w:val="32"/>
          <w:highlight w:val="none"/>
        </w:rPr>
        <w:t>测算奖励金</w:t>
      </w:r>
      <w:r>
        <w:rPr>
          <w:rFonts w:hint="eastAsia" w:ascii="仿宋" w:hAnsi="仿宋" w:eastAsia="仿宋" w:cs="仿宋"/>
          <w:color w:val="auto"/>
          <w:sz w:val="32"/>
          <w:szCs w:val="32"/>
          <w:highlight w:val="none"/>
          <w:lang w:eastAsia="zh-CN"/>
        </w:rPr>
        <w:t>不超过</w:t>
      </w:r>
      <w:r>
        <w:rPr>
          <w:rFonts w:hint="eastAsia" w:ascii="仿宋" w:hAnsi="仿宋" w:eastAsia="仿宋" w:cs="仿宋"/>
          <w:color w:val="auto"/>
          <w:sz w:val="32"/>
          <w:szCs w:val="32"/>
          <w:highlight w:val="none"/>
          <w:lang w:val="en-US" w:eastAsia="zh-CN"/>
        </w:rPr>
        <w:t>350万元。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符合条件的企业</w:t>
      </w:r>
      <w:r>
        <w:rPr>
          <w:rFonts w:hint="eastAsia" w:ascii="仿宋" w:hAnsi="仿宋" w:eastAsia="仿宋" w:cs="仿宋"/>
          <w:color w:val="auto"/>
          <w:sz w:val="32"/>
          <w:szCs w:val="32"/>
          <w:highlight w:val="none"/>
        </w:rPr>
        <w:t>按测算奖励金给予80%且不超过</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0万元的奖励</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翌年</w:t>
      </w:r>
      <w:r>
        <w:rPr>
          <w:rFonts w:hint="eastAsia" w:ascii="仿宋" w:hAnsi="仿宋" w:eastAsia="仿宋" w:cs="仿宋"/>
          <w:color w:val="auto"/>
          <w:sz w:val="32"/>
          <w:szCs w:val="32"/>
          <w:highlight w:val="none"/>
          <w:lang w:val="en-US" w:eastAsia="zh-CN"/>
        </w:rPr>
        <w:t>企业1-11月</w:t>
      </w:r>
      <w:r>
        <w:rPr>
          <w:rFonts w:hint="eastAsia" w:ascii="仿宋" w:hAnsi="仿宋" w:eastAsia="仿宋" w:cs="仿宋"/>
          <w:color w:val="auto"/>
          <w:sz w:val="32"/>
          <w:szCs w:val="32"/>
          <w:highlight w:val="none"/>
          <w:lang w:eastAsia="zh-CN"/>
        </w:rPr>
        <w:t>营业收入</w:t>
      </w:r>
      <w:r>
        <w:rPr>
          <w:rFonts w:hint="eastAsia" w:ascii="仿宋" w:hAnsi="仿宋" w:eastAsia="仿宋" w:cs="仿宋"/>
          <w:color w:val="auto"/>
          <w:sz w:val="32"/>
          <w:szCs w:val="32"/>
          <w:highlight w:val="none"/>
        </w:rPr>
        <w:t>仍实现正增长的</w:t>
      </w:r>
      <w:r>
        <w:rPr>
          <w:rFonts w:hint="eastAsia" w:ascii="仿宋" w:hAnsi="仿宋" w:eastAsia="仿宋" w:cs="仿宋"/>
          <w:color w:val="auto"/>
          <w:sz w:val="32"/>
          <w:szCs w:val="32"/>
          <w:highlight w:val="none"/>
          <w:lang w:eastAsia="zh-CN"/>
        </w:rPr>
        <w:t>给予</w:t>
      </w:r>
      <w:r>
        <w:rPr>
          <w:rFonts w:hint="eastAsia" w:ascii="仿宋" w:hAnsi="仿宋" w:eastAsia="仿宋" w:cs="仿宋"/>
          <w:color w:val="auto"/>
          <w:sz w:val="32"/>
          <w:szCs w:val="32"/>
          <w:highlight w:val="none"/>
        </w:rPr>
        <w:t>兑现剩余部分。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2.团队经营奖励。</w:t>
      </w:r>
      <w:r>
        <w:rPr>
          <w:rFonts w:hint="eastAsia" w:ascii="仿宋" w:hAnsi="仿宋" w:eastAsia="仿宋" w:cs="仿宋"/>
          <w:color w:val="auto"/>
          <w:sz w:val="32"/>
          <w:szCs w:val="32"/>
          <w:highlight w:val="none"/>
          <w:lang w:val="en-US" w:eastAsia="zh-CN"/>
        </w:rPr>
        <w:t>2023年增量、增速达到要求的企业，对其经营团队予以奖励。奖励标准为：（1）增量5000万元以内部分。增速高于50%（含）的按2‰测算奖励，增速高于25%（含）但低于50%的按1.5‰测算奖励；（2）增量5000万元（含）-4亿元部分。增速高于50%（含）的按3‰测算奖励，高于25%（含）但低于50%的按2.5‰测算奖励；（3）增量4亿（含）-10亿元部分。增速高于50%（含）的按4‰测算奖励，增速高于25%（含）但低于50%的按3.5‰测算奖励；（4）增量10亿元及以上部分。增速高于50%（含）的按5‰测算奖励，增速高于25%（含）但低于50%的按4.5‰测算奖励；单家企业测算奖励金不超过350万元。奖励分为四阶段：（1）第一阶段：1-2月，增量300万元（含）以上，根据其增量、增速，按上述标准测算奖励额度，在第二季度给予奖励；（2）第二阶段：1-5月增量500万元（含）以上，根据其增量、增速，按上述标准测算奖励额度，在第三季度给予补足；（3）第三阶段：1-8月增量700万元（含）以上，根据其增量、增速，按上述标准测算奖励额度，在第四季度给予补足；（4）第四阶段：1-11月增量1000万元（含）以上，根据其增量、增速，按上述标准测算奖励额度，在次年第一季度给予补足。第一、二、三阶段发放的团队奖励金额，若超出第二、三、四阶段测算的应奖励金额的，则不再补足，也不再追回差额部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规模以上同一实际控制人（不含基金）的企业营业收入和增速应合并考核。</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（十）鼓励自主研发投入。</w:t>
      </w:r>
      <w:r>
        <w:rPr>
          <w:rFonts w:hint="eastAsia" w:ascii="仿宋" w:hAnsi="仿宋" w:eastAsia="仿宋" w:cs="仿宋"/>
          <w:b w:val="0"/>
          <w:bCs w:val="0"/>
          <w:color w:val="auto"/>
          <w:sz w:val="32"/>
          <w:szCs w:val="32"/>
          <w:highlight w:val="none"/>
          <w:lang w:val="en-US" w:eastAsia="zh-CN"/>
        </w:rPr>
        <w:t>对</w:t>
      </w:r>
      <w:r>
        <w:rPr>
          <w:rFonts w:hint="eastAsia" w:ascii="仿宋" w:hAnsi="仿宋" w:eastAsia="仿宋" w:cs="仿宋"/>
          <w:color w:val="auto"/>
          <w:sz w:val="32"/>
          <w:szCs w:val="32"/>
          <w:highlight w:val="none"/>
          <w:lang w:val="en-US" w:eastAsia="zh-CN"/>
        </w:rPr>
        <w:t>软件企业当年度研发费用获得市科技局研发费用补助的，按市级研发经费补助金额给予80%的配套奖励。可预拨付最高60%补助资金，减轻企业前期研发投入压力。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color w:val="auto"/>
          <w:sz w:val="32"/>
          <w:szCs w:val="32"/>
          <w:highlight w:val="none"/>
        </w:rPr>
      </w:pPr>
      <w:r>
        <w:rPr>
          <w:rFonts w:hint="eastAsia" w:ascii="楷体" w:hAnsi="楷体" w:eastAsia="楷体" w:cs="楷体"/>
          <w:b w:val="0"/>
          <w:bCs w:val="0"/>
          <w:color w:val="auto"/>
          <w:sz w:val="32"/>
          <w:szCs w:val="32"/>
          <w:highlight w:val="none"/>
          <w:lang w:val="en-US" w:eastAsia="zh-CN"/>
        </w:rPr>
        <w:t>（十一）支持文化科技发展。</w:t>
      </w:r>
      <w:r>
        <w:rPr>
          <w:rFonts w:hint="eastAsia" w:ascii="仿宋" w:hAnsi="仿宋" w:eastAsia="仿宋" w:cs="仿宋"/>
          <w:color w:val="auto"/>
          <w:sz w:val="32"/>
          <w:szCs w:val="32"/>
          <w:highlight w:val="none"/>
        </w:rPr>
        <w:t>鼓励</w:t>
      </w:r>
      <w:r>
        <w:rPr>
          <w:rFonts w:hint="eastAsia" w:ascii="仿宋" w:hAnsi="仿宋" w:eastAsia="仿宋" w:cs="仿宋"/>
          <w:color w:val="auto"/>
          <w:sz w:val="32"/>
          <w:szCs w:val="32"/>
          <w:highlight w:val="none"/>
          <w:lang w:eastAsia="zh-CN"/>
        </w:rPr>
        <w:t>规模以上软件</w:t>
      </w:r>
      <w:r>
        <w:rPr>
          <w:rFonts w:hint="eastAsia" w:ascii="仿宋" w:hAnsi="仿宋" w:eastAsia="仿宋" w:cs="仿宋"/>
          <w:color w:val="auto"/>
          <w:sz w:val="32"/>
          <w:szCs w:val="32"/>
          <w:highlight w:val="none"/>
        </w:rPr>
        <w:t>企业进一步加强网络游戏、动漫、影视作品的研发创作和运营管理，支持基础工具软件的研发和公共技术服务平台的搭建。对实际开展游戏运营，以及动画、电影发行业务的，按其运营的游戏、发行的动画和电影在当年度取得营业收入的</w:t>
      </w:r>
      <w:r>
        <w:rPr>
          <w:rFonts w:hint="eastAsia" w:ascii="仿宋" w:hAnsi="仿宋" w:eastAsia="仿宋" w:cs="仿宋"/>
          <w:color w:val="auto"/>
          <w:sz w:val="32"/>
          <w:szCs w:val="32"/>
          <w:highlight w:val="none"/>
          <w:lang w:val="en-US" w:eastAsia="zh-CN"/>
        </w:rPr>
        <w:t>0.5</w:t>
      </w:r>
      <w:r>
        <w:rPr>
          <w:rFonts w:hint="eastAsia" w:ascii="仿宋" w:hAnsi="仿宋" w:eastAsia="仿宋" w:cs="仿宋"/>
          <w:color w:val="auto"/>
          <w:sz w:val="32"/>
          <w:szCs w:val="32"/>
          <w:highlight w:val="none"/>
        </w:rPr>
        <w:t>%给予奖励；对于参与过当年度上映动画、电影的，按其制作费的</w:t>
      </w:r>
      <w:r>
        <w:rPr>
          <w:rFonts w:hint="eastAsia" w:ascii="仿宋" w:hAnsi="仿宋" w:eastAsia="仿宋" w:cs="仿宋"/>
          <w:color w:val="auto"/>
          <w:sz w:val="32"/>
          <w:szCs w:val="32"/>
          <w:highlight w:val="none"/>
          <w:lang w:val="en-US" w:eastAsia="zh-CN"/>
        </w:rPr>
        <w:t>0.5</w:t>
      </w:r>
      <w:r>
        <w:rPr>
          <w:rFonts w:hint="eastAsia" w:ascii="仿宋" w:hAnsi="仿宋" w:eastAsia="仿宋" w:cs="仿宋"/>
          <w:color w:val="auto"/>
          <w:sz w:val="32"/>
          <w:szCs w:val="32"/>
          <w:highlight w:val="none"/>
        </w:rPr>
        <w:t>%给予奖励。每家企业每年最高奖励</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（十二）推动SaaS应用创新。</w:t>
      </w:r>
      <w:r>
        <w:rPr>
          <w:rFonts w:hint="eastAsia" w:ascii="仿宋" w:hAnsi="仿宋" w:eastAsia="仿宋" w:cs="仿宋"/>
          <w:color w:val="auto"/>
          <w:sz w:val="32"/>
          <w:szCs w:val="32"/>
          <w:highlight w:val="none"/>
          <w:lang w:val="en-US" w:eastAsia="zh-CN"/>
        </w:rPr>
        <w:t>对软件企业关键技术自主研发并取得自主知识产权的纯软件型基础软件、工业软件和“付费订阅”模式软件服务（SaaS）</w:t>
      </w:r>
      <w:r>
        <w:rPr>
          <w:rFonts w:hint="eastAsia" w:ascii="仿宋" w:hAnsi="仿宋" w:eastAsia="仿宋" w:cs="仿宋"/>
          <w:b w:val="0"/>
          <w:bCs w:val="0"/>
          <w:color w:val="auto"/>
          <w:sz w:val="32"/>
          <w:szCs w:val="32"/>
          <w:highlight w:val="none"/>
          <w:u w:val="none"/>
          <w:lang w:val="en-US" w:eastAsia="zh-CN"/>
        </w:rPr>
        <w:t>，</w:t>
      </w:r>
      <w:r>
        <w:rPr>
          <w:rFonts w:hint="eastAsia" w:ascii="仿宋" w:hAnsi="仿宋" w:eastAsia="仿宋" w:cs="仿宋"/>
          <w:color w:val="auto"/>
          <w:sz w:val="32"/>
          <w:szCs w:val="32"/>
          <w:highlight w:val="none"/>
          <w:lang w:val="en-US" w:eastAsia="zh-CN"/>
        </w:rPr>
        <w:t>按照其当年度使用</w:t>
      </w:r>
      <w:r>
        <w:rPr>
          <w:rFonts w:hint="eastAsia" w:ascii="仿宋" w:hAnsi="仿宋" w:eastAsia="仿宋" w:cs="仿宋"/>
          <w:b w:val="0"/>
          <w:bCs w:val="0"/>
          <w:color w:val="auto"/>
          <w:sz w:val="32"/>
          <w:szCs w:val="32"/>
          <w:highlight w:val="none"/>
          <w:u w:val="none"/>
          <w:lang w:val="en-US" w:eastAsia="zh-CN"/>
        </w:rPr>
        <w:t>华为云等的</w:t>
      </w:r>
      <w:r>
        <w:rPr>
          <w:rFonts w:hint="eastAsia" w:ascii="仿宋" w:hAnsi="仿宋" w:eastAsia="仿宋" w:cs="仿宋"/>
          <w:color w:val="auto"/>
          <w:sz w:val="32"/>
          <w:szCs w:val="32"/>
          <w:highlight w:val="none"/>
          <w:lang w:val="en-US" w:eastAsia="zh-CN"/>
        </w:rPr>
        <w:t>上云费用的60%给予补贴，每家规上企业补助总额最高50万元，每家规下企业补助总额最高20万元，补贴总额不超过以上服务模式产生的营收，且不超过其当年度企业对集经济贡献。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三、支持特色产业培育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b w:val="0"/>
          <w:bCs w:val="0"/>
          <w:color w:val="auto"/>
          <w:sz w:val="32"/>
          <w:szCs w:val="32"/>
          <w:highlight w:val="none"/>
          <w:u w:val="none"/>
          <w:lang w:val="en-US" w:eastAsia="zh-CN"/>
        </w:rPr>
      </w:pPr>
      <w:r>
        <w:rPr>
          <w:rFonts w:hint="eastAsia" w:ascii="楷体" w:hAnsi="楷体" w:eastAsia="楷体" w:cs="楷体"/>
          <w:b w:val="0"/>
          <w:bCs w:val="0"/>
          <w:color w:val="auto"/>
          <w:sz w:val="32"/>
          <w:szCs w:val="32"/>
          <w:highlight w:val="none"/>
          <w:lang w:val="en-US" w:eastAsia="zh-CN"/>
        </w:rPr>
        <w:t>（十三）鼓励工业数字化转型。</w:t>
      </w:r>
      <w:r>
        <w:rPr>
          <w:rFonts w:hint="eastAsia" w:ascii="仿宋" w:hAnsi="仿宋" w:eastAsia="仿宋" w:cs="仿宋"/>
          <w:b w:val="0"/>
          <w:bCs w:val="0"/>
          <w:color w:val="auto"/>
          <w:sz w:val="32"/>
          <w:szCs w:val="32"/>
          <w:highlight w:val="none"/>
          <w:u w:val="none"/>
          <w:lang w:val="en-US" w:eastAsia="zh-CN"/>
        </w:rPr>
        <w:t>2023年，集美区规模以上工业企业使用集美区工业和信息化局备案的工业软件服务，且通过项目审核的，验收后按照项目费用的50%给予补贴，每家企业补助总额最高75万元。</w:t>
      </w:r>
      <w:r>
        <w:rPr>
          <w:rFonts w:hint="eastAsia" w:ascii="仿宋" w:hAnsi="仿宋" w:eastAsia="仿宋" w:cs="仿宋"/>
          <w:color w:val="auto"/>
          <w:sz w:val="32"/>
          <w:szCs w:val="32"/>
          <w:highlight w:val="none"/>
          <w:lang w:val="en-US" w:eastAsia="zh-CN"/>
        </w:rPr>
        <w:t>按照项目经济效益高低，根据专项资金余额，择优通过审核。</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（十四）鼓励信创适配服务。</w:t>
      </w:r>
      <w:r>
        <w:rPr>
          <w:rFonts w:hint="eastAsia" w:ascii="仿宋" w:hAnsi="仿宋" w:eastAsia="仿宋" w:cs="仿宋"/>
          <w:b w:val="0"/>
          <w:bCs w:val="0"/>
          <w:color w:val="auto"/>
          <w:sz w:val="32"/>
          <w:szCs w:val="32"/>
          <w:highlight w:val="none"/>
          <w:lang w:val="en-US" w:eastAsia="zh-CN"/>
        </w:rPr>
        <w:t>2023年，</w:t>
      </w:r>
      <w:r>
        <w:rPr>
          <w:rFonts w:hint="eastAsia" w:ascii="仿宋" w:hAnsi="仿宋" w:eastAsia="仿宋" w:cs="仿宋"/>
          <w:color w:val="auto"/>
          <w:sz w:val="32"/>
          <w:szCs w:val="32"/>
          <w:highlight w:val="none"/>
          <w:lang w:val="en-US" w:eastAsia="zh-CN"/>
        </w:rPr>
        <w:t>集美区企业使用鲲鹏等自主可控产品适配服务，主要包含测试、验证、迁移等服务。按照年度购买费用的40%给予补贴。每家规上企业每年最高50万元，补贴总额不超过其当年度企业对集经济贡献。规下企业最高20万元，补贴总额不超过其当年度企业对集经济贡献的2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四、鼓励人才集聚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（十五）给予生活补贴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rPr>
        <w:t>高级人才。</w:t>
      </w:r>
      <w:r>
        <w:rPr>
          <w:rFonts w:hint="eastAsia" w:ascii="仿宋" w:hAnsi="仿宋" w:eastAsia="仿宋" w:cs="仿宋"/>
          <w:b w:val="0"/>
          <w:bCs w:val="0"/>
          <w:color w:val="auto"/>
          <w:sz w:val="32"/>
          <w:szCs w:val="32"/>
          <w:highlight w:val="none"/>
        </w:rPr>
        <w:t>对</w:t>
      </w:r>
      <w:r>
        <w:rPr>
          <w:rFonts w:hint="eastAsia" w:ascii="仿宋" w:hAnsi="仿宋" w:eastAsia="仿宋" w:cs="仿宋"/>
          <w:b w:val="0"/>
          <w:bCs w:val="0"/>
          <w:color w:val="auto"/>
          <w:sz w:val="32"/>
          <w:szCs w:val="32"/>
          <w:highlight w:val="none"/>
          <w:lang w:eastAsia="zh-CN"/>
        </w:rPr>
        <w:t>软件</w:t>
      </w:r>
      <w:r>
        <w:rPr>
          <w:rFonts w:hint="eastAsia" w:ascii="仿宋" w:hAnsi="仿宋" w:eastAsia="仿宋" w:cs="仿宋"/>
          <w:b w:val="0"/>
          <w:bCs w:val="0"/>
          <w:color w:val="auto"/>
          <w:sz w:val="32"/>
          <w:szCs w:val="32"/>
          <w:highlight w:val="none"/>
        </w:rPr>
        <w:t>企业所聘用的</w:t>
      </w:r>
      <w:r>
        <w:rPr>
          <w:rFonts w:hint="eastAsia" w:ascii="仿宋" w:hAnsi="仿宋" w:eastAsia="仿宋" w:cs="仿宋"/>
          <w:b w:val="0"/>
          <w:bCs w:val="0"/>
          <w:color w:val="auto"/>
          <w:sz w:val="32"/>
          <w:szCs w:val="32"/>
          <w:highlight w:val="none"/>
          <w:lang w:eastAsia="zh-CN"/>
        </w:rPr>
        <w:t>当</w:t>
      </w:r>
      <w:r>
        <w:rPr>
          <w:rFonts w:hint="eastAsia" w:ascii="仿宋" w:hAnsi="仿宋" w:eastAsia="仿宋" w:cs="仿宋"/>
          <w:b w:val="0"/>
          <w:bCs w:val="0"/>
          <w:color w:val="auto"/>
          <w:sz w:val="32"/>
          <w:szCs w:val="32"/>
          <w:highlight w:val="none"/>
        </w:rPr>
        <w:t>年度实际个人工资薪金（税前）高于</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0万元（含）的企业管理和技术人才，按其年度个人工资薪金</w:t>
      </w:r>
      <w:r>
        <w:rPr>
          <w:rFonts w:hint="eastAsia" w:ascii="仿宋" w:hAnsi="仿宋" w:eastAsia="仿宋" w:cs="仿宋"/>
          <w:b w:val="0"/>
          <w:bCs w:val="0"/>
          <w:color w:val="auto"/>
          <w:sz w:val="32"/>
          <w:szCs w:val="32"/>
          <w:highlight w:val="none"/>
          <w:lang w:eastAsia="zh-CN"/>
        </w:rPr>
        <w:t>（税前）</w:t>
      </w:r>
      <w:r>
        <w:rPr>
          <w:rFonts w:hint="eastAsia" w:ascii="仿宋" w:hAnsi="仿宋" w:eastAsia="仿宋" w:cs="仿宋"/>
          <w:b w:val="0"/>
          <w:bCs w:val="0"/>
          <w:color w:val="auto"/>
          <w:sz w:val="32"/>
          <w:szCs w:val="32"/>
          <w:highlight w:val="none"/>
        </w:rPr>
        <w:t>给予</w:t>
      </w:r>
      <w:r>
        <w:rPr>
          <w:rFonts w:hint="eastAsia" w:ascii="仿宋" w:hAnsi="仿宋" w:eastAsia="仿宋" w:cs="仿宋"/>
          <w:b w:val="0"/>
          <w:bCs w:val="0"/>
          <w:color w:val="auto"/>
          <w:sz w:val="32"/>
          <w:szCs w:val="32"/>
          <w:highlight w:val="none"/>
          <w:lang w:val="en-US" w:eastAsia="zh-CN"/>
        </w:rPr>
        <w:t>5%的</w:t>
      </w:r>
      <w:r>
        <w:rPr>
          <w:rFonts w:hint="eastAsia" w:ascii="仿宋" w:hAnsi="仿宋" w:eastAsia="仿宋" w:cs="仿宋"/>
          <w:b w:val="0"/>
          <w:bCs w:val="0"/>
          <w:color w:val="auto"/>
          <w:sz w:val="32"/>
          <w:szCs w:val="32"/>
          <w:highlight w:val="none"/>
        </w:rPr>
        <w:t>奖励</w:t>
      </w:r>
      <w:r>
        <w:rPr>
          <w:rFonts w:hint="eastAsia" w:ascii="仿宋" w:hAnsi="仿宋" w:eastAsia="仿宋" w:cs="仿宋"/>
          <w:b w:val="0"/>
          <w:bCs w:val="0"/>
          <w:color w:val="auto"/>
          <w:sz w:val="32"/>
          <w:szCs w:val="32"/>
          <w:highlight w:val="none"/>
          <w:lang w:eastAsia="zh-CN"/>
        </w:rPr>
        <w:t>，最高不超过</w:t>
      </w:r>
      <w:r>
        <w:rPr>
          <w:rFonts w:hint="eastAsia" w:ascii="仿宋" w:hAnsi="仿宋" w:eastAsia="仿宋" w:cs="仿宋"/>
          <w:b w:val="0"/>
          <w:bCs w:val="0"/>
          <w:color w:val="auto"/>
          <w:sz w:val="32"/>
          <w:szCs w:val="32"/>
          <w:highlight w:val="none"/>
          <w:lang w:val="en-US" w:eastAsia="zh-CN"/>
        </w:rPr>
        <w:t>对集</w:t>
      </w:r>
      <w:r>
        <w:rPr>
          <w:rFonts w:hint="eastAsia" w:ascii="仿宋" w:hAnsi="仿宋" w:eastAsia="仿宋" w:cs="仿宋"/>
          <w:b w:val="0"/>
          <w:bCs w:val="0"/>
          <w:color w:val="auto"/>
          <w:sz w:val="32"/>
          <w:szCs w:val="32"/>
          <w:highlight w:val="none"/>
          <w:lang w:eastAsia="zh-CN"/>
        </w:rPr>
        <w:t>经济</w:t>
      </w:r>
      <w:r>
        <w:rPr>
          <w:rFonts w:hint="eastAsia" w:ascii="仿宋" w:hAnsi="仿宋" w:eastAsia="仿宋" w:cs="仿宋"/>
          <w:b w:val="0"/>
          <w:bCs w:val="0"/>
          <w:color w:val="auto"/>
          <w:sz w:val="32"/>
          <w:szCs w:val="32"/>
          <w:highlight w:val="none"/>
        </w:rPr>
        <w:t>贡献。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rPr>
        <w:t>2.骨干人才。</w:t>
      </w:r>
      <w:r>
        <w:rPr>
          <w:rFonts w:hint="eastAsia" w:ascii="仿宋" w:hAnsi="仿宋" w:eastAsia="仿宋" w:cs="仿宋"/>
          <w:b w:val="0"/>
          <w:bCs w:val="0"/>
          <w:color w:val="auto"/>
          <w:sz w:val="32"/>
          <w:szCs w:val="32"/>
          <w:highlight w:val="none"/>
        </w:rPr>
        <w:t>对</w:t>
      </w:r>
      <w:r>
        <w:rPr>
          <w:rFonts w:hint="eastAsia" w:ascii="仿宋" w:hAnsi="仿宋" w:eastAsia="仿宋" w:cs="仿宋"/>
          <w:b w:val="0"/>
          <w:bCs w:val="0"/>
          <w:color w:val="auto"/>
          <w:sz w:val="32"/>
          <w:szCs w:val="32"/>
          <w:highlight w:val="none"/>
          <w:lang w:eastAsia="zh-CN"/>
        </w:rPr>
        <w:t>软件</w:t>
      </w:r>
      <w:r>
        <w:rPr>
          <w:rFonts w:hint="eastAsia" w:ascii="仿宋" w:hAnsi="仿宋" w:eastAsia="仿宋" w:cs="仿宋"/>
          <w:b w:val="0"/>
          <w:bCs w:val="0"/>
          <w:color w:val="auto"/>
          <w:sz w:val="32"/>
          <w:szCs w:val="32"/>
          <w:highlight w:val="none"/>
        </w:rPr>
        <w:t>企业聘用的全日制博士研究生或</w:t>
      </w:r>
      <w:r>
        <w:rPr>
          <w:rFonts w:hint="eastAsia" w:ascii="仿宋" w:hAnsi="仿宋" w:eastAsia="仿宋" w:cs="仿宋"/>
          <w:b w:val="0"/>
          <w:bCs w:val="0"/>
          <w:color w:val="auto"/>
          <w:sz w:val="32"/>
          <w:szCs w:val="32"/>
          <w:highlight w:val="none"/>
          <w:lang w:val="en-US" w:eastAsia="zh-CN"/>
        </w:rPr>
        <w:t>当</w:t>
      </w:r>
      <w:r>
        <w:rPr>
          <w:rFonts w:hint="eastAsia" w:ascii="仿宋" w:hAnsi="仿宋" w:eastAsia="仿宋" w:cs="仿宋"/>
          <w:b w:val="0"/>
          <w:bCs w:val="0"/>
          <w:color w:val="auto"/>
          <w:sz w:val="32"/>
          <w:szCs w:val="32"/>
          <w:highlight w:val="none"/>
        </w:rPr>
        <w:t>年度实际个人工资薪金所得（税前）高于25万元（含）的骨干人才，给予每月3500元的补贴。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rPr>
        <w:t>3.产业人才。</w:t>
      </w:r>
      <w:r>
        <w:rPr>
          <w:rFonts w:hint="eastAsia" w:ascii="仿宋" w:hAnsi="仿宋" w:eastAsia="仿宋" w:cs="仿宋"/>
          <w:b w:val="0"/>
          <w:bCs w:val="0"/>
          <w:color w:val="auto"/>
          <w:sz w:val="32"/>
          <w:szCs w:val="32"/>
          <w:highlight w:val="none"/>
        </w:rPr>
        <w:t>对</w:t>
      </w:r>
      <w:r>
        <w:rPr>
          <w:rFonts w:hint="eastAsia" w:ascii="仿宋" w:hAnsi="仿宋" w:eastAsia="仿宋" w:cs="仿宋"/>
          <w:b w:val="0"/>
          <w:bCs w:val="0"/>
          <w:color w:val="auto"/>
          <w:sz w:val="32"/>
          <w:szCs w:val="32"/>
          <w:highlight w:val="none"/>
          <w:lang w:eastAsia="zh-CN"/>
        </w:rPr>
        <w:t>软件</w:t>
      </w:r>
      <w:r>
        <w:rPr>
          <w:rFonts w:hint="eastAsia" w:ascii="仿宋" w:hAnsi="仿宋" w:eastAsia="仿宋" w:cs="仿宋"/>
          <w:b w:val="0"/>
          <w:bCs w:val="0"/>
          <w:color w:val="auto"/>
          <w:sz w:val="32"/>
          <w:szCs w:val="32"/>
          <w:highlight w:val="none"/>
        </w:rPr>
        <w:t>企业聘用的全日制硕士研究生或</w:t>
      </w:r>
      <w:r>
        <w:rPr>
          <w:rFonts w:hint="eastAsia" w:ascii="仿宋" w:hAnsi="仿宋" w:eastAsia="仿宋" w:cs="仿宋"/>
          <w:b w:val="0"/>
          <w:bCs w:val="0"/>
          <w:color w:val="auto"/>
          <w:sz w:val="32"/>
          <w:szCs w:val="32"/>
          <w:highlight w:val="none"/>
          <w:lang w:eastAsia="zh-CN"/>
        </w:rPr>
        <w:t>当</w:t>
      </w:r>
      <w:r>
        <w:rPr>
          <w:rFonts w:hint="eastAsia" w:ascii="仿宋" w:hAnsi="仿宋" w:eastAsia="仿宋" w:cs="仿宋"/>
          <w:b w:val="0"/>
          <w:bCs w:val="0"/>
          <w:color w:val="auto"/>
          <w:sz w:val="32"/>
          <w:szCs w:val="32"/>
          <w:highlight w:val="none"/>
        </w:rPr>
        <w:t>年度实际个人工资薪金所得（税前）高于15万元（含）低于25万元的产业人才，给予每月2500元的补贴。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en-US" w:eastAsia="zh-CN"/>
        </w:rPr>
        <w:t>4</w:t>
      </w:r>
      <w:r>
        <w:rPr>
          <w:rFonts w:hint="eastAsia" w:ascii="仿宋" w:hAnsi="仿宋" w:eastAsia="仿宋" w:cs="仿宋"/>
          <w:b/>
          <w:bCs/>
          <w:color w:val="auto"/>
          <w:sz w:val="32"/>
          <w:szCs w:val="32"/>
          <w:highlight w:val="none"/>
        </w:rPr>
        <w:t>.新员工。</w:t>
      </w:r>
      <w:r>
        <w:rPr>
          <w:rFonts w:hint="eastAsia" w:ascii="仿宋" w:hAnsi="仿宋" w:eastAsia="仿宋" w:cs="仿宋"/>
          <w:b w:val="0"/>
          <w:bCs w:val="0"/>
          <w:color w:val="auto"/>
          <w:sz w:val="32"/>
          <w:szCs w:val="32"/>
          <w:highlight w:val="none"/>
        </w:rPr>
        <w:t>对</w:t>
      </w:r>
      <w:r>
        <w:rPr>
          <w:rFonts w:hint="eastAsia" w:ascii="仿宋" w:hAnsi="仿宋" w:eastAsia="仿宋" w:cs="仿宋"/>
          <w:b w:val="0"/>
          <w:bCs w:val="0"/>
          <w:color w:val="auto"/>
          <w:sz w:val="32"/>
          <w:szCs w:val="32"/>
          <w:highlight w:val="none"/>
          <w:lang w:eastAsia="zh-CN"/>
        </w:rPr>
        <w:t>软件</w:t>
      </w:r>
      <w:r>
        <w:rPr>
          <w:rFonts w:hint="eastAsia" w:ascii="仿宋" w:hAnsi="仿宋" w:eastAsia="仿宋" w:cs="仿宋"/>
          <w:b w:val="0"/>
          <w:bCs w:val="0"/>
          <w:color w:val="auto"/>
          <w:sz w:val="32"/>
          <w:szCs w:val="32"/>
          <w:highlight w:val="none"/>
        </w:rPr>
        <w:t>企业聘用毕业未满三年</w:t>
      </w:r>
      <w:r>
        <w:rPr>
          <w:rFonts w:hint="eastAsia" w:ascii="仿宋" w:hAnsi="仿宋" w:eastAsia="仿宋" w:cs="仿宋"/>
          <w:b w:val="0"/>
          <w:bCs w:val="0"/>
          <w:color w:val="auto"/>
          <w:sz w:val="32"/>
          <w:szCs w:val="32"/>
          <w:highlight w:val="none"/>
          <w:lang w:eastAsia="zh-CN"/>
        </w:rPr>
        <w:t>且厦门户籍</w:t>
      </w:r>
      <w:r>
        <w:rPr>
          <w:rFonts w:hint="eastAsia" w:ascii="仿宋" w:hAnsi="仿宋" w:eastAsia="仿宋" w:cs="仿宋"/>
          <w:b w:val="0"/>
          <w:bCs w:val="0"/>
          <w:color w:val="auto"/>
          <w:sz w:val="32"/>
          <w:szCs w:val="32"/>
          <w:highlight w:val="none"/>
        </w:rPr>
        <w:t>的全日制</w:t>
      </w:r>
      <w:r>
        <w:rPr>
          <w:rFonts w:hint="eastAsia" w:ascii="仿宋" w:hAnsi="仿宋" w:eastAsia="仿宋" w:cs="仿宋"/>
          <w:b w:val="0"/>
          <w:bCs w:val="0"/>
          <w:color w:val="auto"/>
          <w:sz w:val="32"/>
          <w:szCs w:val="32"/>
          <w:highlight w:val="none"/>
          <w:lang w:val="en-US" w:eastAsia="zh-CN"/>
        </w:rPr>
        <w:t>“双一流”建设高校（学科）及世界最新排名前200名大学</w:t>
      </w:r>
      <w:r>
        <w:rPr>
          <w:rFonts w:hint="eastAsia" w:ascii="仿宋" w:hAnsi="仿宋" w:eastAsia="仿宋" w:cs="仿宋"/>
          <w:b w:val="0"/>
          <w:bCs w:val="0"/>
          <w:color w:val="auto"/>
          <w:sz w:val="32"/>
          <w:szCs w:val="32"/>
          <w:highlight w:val="none"/>
        </w:rPr>
        <w:t>本科及以上毕业生，给予每人每月</w:t>
      </w:r>
      <w:r>
        <w:rPr>
          <w:rFonts w:hint="eastAsia" w:ascii="仿宋" w:hAnsi="仿宋" w:eastAsia="仿宋" w:cs="仿宋"/>
          <w:b w:val="0"/>
          <w:bCs w:val="0"/>
          <w:color w:val="auto"/>
          <w:sz w:val="32"/>
          <w:szCs w:val="32"/>
          <w:highlight w:val="none"/>
          <w:lang w:val="en-US" w:eastAsia="zh-CN"/>
        </w:rPr>
        <w:t>8</w:t>
      </w:r>
      <w:r>
        <w:rPr>
          <w:rFonts w:hint="eastAsia" w:ascii="仿宋" w:hAnsi="仿宋" w:eastAsia="仿宋" w:cs="仿宋"/>
          <w:b w:val="0"/>
          <w:bCs w:val="0"/>
          <w:color w:val="auto"/>
          <w:sz w:val="32"/>
          <w:szCs w:val="32"/>
          <w:highlight w:val="none"/>
        </w:rPr>
        <w:t>00元的补贴。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5.台湾人才。</w:t>
      </w:r>
      <w:r>
        <w:rPr>
          <w:rFonts w:hint="eastAsia" w:ascii="仿宋" w:hAnsi="仿宋" w:eastAsia="仿宋" w:cs="仿宋"/>
          <w:b w:val="0"/>
          <w:bCs w:val="0"/>
          <w:color w:val="auto"/>
          <w:sz w:val="32"/>
          <w:szCs w:val="32"/>
          <w:highlight w:val="none"/>
          <w:lang w:val="en-US" w:eastAsia="zh-CN"/>
        </w:rPr>
        <w:t>对软件企业聘用的台湾员工，参照本条政策的2、3、4条，给予1.2倍的补贴。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6.金砖人才。</w:t>
      </w:r>
      <w:r>
        <w:rPr>
          <w:rFonts w:hint="eastAsia" w:ascii="仿宋" w:hAnsi="仿宋" w:eastAsia="仿宋" w:cs="仿宋"/>
          <w:b w:val="0"/>
          <w:bCs w:val="0"/>
          <w:color w:val="auto"/>
          <w:sz w:val="32"/>
          <w:szCs w:val="32"/>
          <w:highlight w:val="none"/>
          <w:lang w:val="en-US" w:eastAsia="zh-CN"/>
        </w:rPr>
        <w:t>对软件企业聘用的金砖合作国家的员工，参照本条政策的2、3、4条，给予1.2倍的补贴。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同一人才同一时间最多仅能享受以上</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条中的</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条，且不与集美区人才</w:t>
      </w:r>
      <w:r>
        <w:rPr>
          <w:rFonts w:hint="eastAsia" w:ascii="仿宋" w:hAnsi="仿宋" w:eastAsia="仿宋" w:cs="仿宋"/>
          <w:b w:val="0"/>
          <w:bCs w:val="0"/>
          <w:color w:val="auto"/>
          <w:sz w:val="32"/>
          <w:szCs w:val="32"/>
          <w:highlight w:val="none"/>
          <w:lang w:eastAsia="zh-CN"/>
        </w:rPr>
        <w:t>同类</w:t>
      </w:r>
      <w:r>
        <w:rPr>
          <w:rFonts w:hint="eastAsia" w:ascii="仿宋" w:hAnsi="仿宋" w:eastAsia="仿宋" w:cs="仿宋"/>
          <w:b w:val="0"/>
          <w:bCs w:val="0"/>
          <w:color w:val="auto"/>
          <w:sz w:val="32"/>
          <w:szCs w:val="32"/>
          <w:highlight w:val="none"/>
        </w:rPr>
        <w:t>政策重复享受（含区级承担部分资金的上级扶持政策）。上述</w:t>
      </w:r>
      <w:r>
        <w:rPr>
          <w:rFonts w:hint="eastAsia" w:ascii="仿宋" w:hAnsi="仿宋" w:eastAsia="仿宋" w:cs="仿宋"/>
          <w:b w:val="0"/>
          <w:bCs w:val="0"/>
          <w:color w:val="auto"/>
          <w:sz w:val="32"/>
          <w:szCs w:val="32"/>
          <w:highlight w:val="none"/>
          <w:lang w:val="en-US" w:eastAsia="zh-CN"/>
        </w:rPr>
        <w:t>1-4</w:t>
      </w:r>
      <w:r>
        <w:rPr>
          <w:rFonts w:hint="eastAsia" w:ascii="仿宋" w:hAnsi="仿宋" w:eastAsia="仿宋" w:cs="仿宋"/>
          <w:b w:val="0"/>
          <w:bCs w:val="0"/>
          <w:color w:val="auto"/>
          <w:sz w:val="32"/>
          <w:szCs w:val="32"/>
          <w:highlight w:val="none"/>
        </w:rPr>
        <w:t>条获得奖励年度累计不超过</w:t>
      </w: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个自然年度</w:t>
      </w:r>
      <w:r>
        <w:rPr>
          <w:rFonts w:hint="eastAsia" w:ascii="仿宋" w:hAnsi="仿宋" w:eastAsia="仿宋" w:cs="仿宋"/>
          <w:b w:val="0"/>
          <w:bCs w:val="0"/>
          <w:color w:val="auto"/>
          <w:sz w:val="32"/>
          <w:szCs w:val="32"/>
          <w:highlight w:val="none"/>
          <w:lang w:eastAsia="zh-CN"/>
        </w:rPr>
        <w:t>，与</w:t>
      </w:r>
      <w:r>
        <w:rPr>
          <w:rFonts w:hint="eastAsia" w:ascii="仿宋" w:hAnsi="仿宋" w:eastAsia="仿宋" w:cs="仿宋"/>
          <w:b w:val="0"/>
          <w:bCs w:val="0"/>
          <w:color w:val="auto"/>
          <w:sz w:val="32"/>
          <w:szCs w:val="32"/>
          <w:highlight w:val="none"/>
          <w:lang w:val="en-US" w:eastAsia="zh-CN"/>
        </w:rPr>
        <w:t>曾发布的</w:t>
      </w:r>
      <w:r>
        <w:rPr>
          <w:rFonts w:hint="eastAsia" w:ascii="仿宋" w:hAnsi="仿宋" w:eastAsia="仿宋" w:cs="仿宋"/>
          <w:b w:val="0"/>
          <w:bCs w:val="0"/>
          <w:color w:val="auto"/>
          <w:sz w:val="32"/>
          <w:szCs w:val="32"/>
          <w:highlight w:val="none"/>
          <w:lang w:eastAsia="zh-CN"/>
        </w:rPr>
        <w:t>《集美区鼓励软件和信息服务业发展奖励暂行办法》（集府〔20</w:t>
      </w:r>
      <w:r>
        <w:rPr>
          <w:rFonts w:hint="eastAsia" w:ascii="仿宋" w:hAnsi="仿宋" w:eastAsia="仿宋" w:cs="仿宋"/>
          <w:b w:val="0"/>
          <w:bCs w:val="0"/>
          <w:color w:val="auto"/>
          <w:sz w:val="32"/>
          <w:szCs w:val="32"/>
          <w:highlight w:val="none"/>
          <w:lang w:val="en-US" w:eastAsia="zh-CN"/>
        </w:rPr>
        <w:t>16</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54</w:t>
      </w:r>
      <w:r>
        <w:rPr>
          <w:rFonts w:hint="eastAsia" w:ascii="仿宋" w:hAnsi="仿宋" w:eastAsia="仿宋" w:cs="仿宋"/>
          <w:b w:val="0"/>
          <w:bCs w:val="0"/>
          <w:color w:val="auto"/>
          <w:sz w:val="32"/>
          <w:szCs w:val="32"/>
          <w:highlight w:val="none"/>
          <w:lang w:eastAsia="zh-CN"/>
        </w:rPr>
        <w:t>号</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lang w:eastAsia="zh-CN"/>
        </w:rPr>
        <w:t>集府〔20</w:t>
      </w:r>
      <w:r>
        <w:rPr>
          <w:rFonts w:hint="eastAsia" w:ascii="仿宋" w:hAnsi="仿宋" w:eastAsia="仿宋" w:cs="仿宋"/>
          <w:b w:val="0"/>
          <w:bCs w:val="0"/>
          <w:color w:val="auto"/>
          <w:sz w:val="32"/>
          <w:szCs w:val="32"/>
          <w:highlight w:val="none"/>
          <w:lang w:val="en-US" w:eastAsia="zh-CN"/>
        </w:rPr>
        <w:t>18</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106</w:t>
      </w:r>
      <w:r>
        <w:rPr>
          <w:rFonts w:hint="eastAsia" w:ascii="仿宋" w:hAnsi="仿宋" w:eastAsia="仿宋" w:cs="仿宋"/>
          <w:b w:val="0"/>
          <w:bCs w:val="0"/>
          <w:color w:val="auto"/>
          <w:sz w:val="32"/>
          <w:szCs w:val="32"/>
          <w:highlight w:val="none"/>
          <w:lang w:eastAsia="zh-CN"/>
        </w:rPr>
        <w:t>号</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lang w:eastAsia="zh-CN"/>
        </w:rPr>
        <w:t>集府规〔2020〕2号）的人才奖励年度合并计算</w:t>
      </w:r>
      <w:r>
        <w:rPr>
          <w:rFonts w:hint="eastAsia" w:ascii="仿宋" w:hAnsi="仿宋" w:eastAsia="仿宋" w:cs="仿宋"/>
          <w:b w:val="0"/>
          <w:bCs w:val="0"/>
          <w:color w:val="auto"/>
          <w:sz w:val="32"/>
          <w:szCs w:val="32"/>
          <w:highlight w:val="none"/>
        </w:rPr>
        <w:t>。申请月份不足12个月的，按</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个自然年度计算。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rPr>
        <w:t>每家企业当年获得高级人才、骨干人才和产业人才</w:t>
      </w:r>
      <w:r>
        <w:rPr>
          <w:rFonts w:hint="eastAsia"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rPr>
        <w:t>条补贴的总额，不超过当年该企业中所有员工</w:t>
      </w:r>
      <w:r>
        <w:rPr>
          <w:rFonts w:hint="eastAsia" w:ascii="仿宋" w:hAnsi="仿宋" w:eastAsia="仿宋" w:cs="仿宋"/>
          <w:b w:val="0"/>
          <w:bCs w:val="0"/>
          <w:color w:val="auto"/>
          <w:sz w:val="32"/>
          <w:szCs w:val="32"/>
          <w:highlight w:val="none"/>
          <w:lang w:eastAsia="zh-CN"/>
        </w:rPr>
        <w:t>（不含申报台湾人才、金砖人才、重点产业人才生活补贴和激发人才创新活力非科学技术进步奖的员工）</w:t>
      </w:r>
      <w:r>
        <w:rPr>
          <w:rFonts w:hint="eastAsia" w:ascii="仿宋" w:hAnsi="仿宋" w:eastAsia="仿宋" w:cs="仿宋"/>
          <w:b w:val="0"/>
          <w:bCs w:val="0"/>
          <w:color w:val="auto"/>
          <w:sz w:val="32"/>
          <w:szCs w:val="32"/>
          <w:highlight w:val="none"/>
        </w:rPr>
        <w:t>所得对</w:t>
      </w:r>
      <w:r>
        <w:rPr>
          <w:rFonts w:hint="eastAsia" w:ascii="仿宋" w:hAnsi="仿宋" w:eastAsia="仿宋" w:cs="仿宋"/>
          <w:b w:val="0"/>
          <w:bCs w:val="0"/>
          <w:color w:val="auto"/>
          <w:sz w:val="32"/>
          <w:szCs w:val="32"/>
          <w:highlight w:val="none"/>
          <w:lang w:eastAsia="zh-CN"/>
        </w:rPr>
        <w:t>集经济</w:t>
      </w:r>
      <w:r>
        <w:rPr>
          <w:rFonts w:hint="eastAsia" w:ascii="仿宋" w:hAnsi="仿宋" w:eastAsia="仿宋" w:cs="仿宋"/>
          <w:b w:val="0"/>
          <w:bCs w:val="0"/>
          <w:color w:val="auto"/>
          <w:sz w:val="32"/>
          <w:szCs w:val="32"/>
          <w:highlight w:val="none"/>
        </w:rPr>
        <w:t>贡献的合计。</w:t>
      </w:r>
      <w:r>
        <w:rPr>
          <w:rFonts w:hint="eastAsia" w:ascii="仿宋" w:hAnsi="仿宋" w:eastAsia="仿宋" w:cs="仿宋"/>
          <w:b w:val="0"/>
          <w:bCs w:val="0"/>
          <w:color w:val="auto"/>
          <w:sz w:val="32"/>
          <w:szCs w:val="32"/>
          <w:highlight w:val="none"/>
          <w:lang w:eastAsia="zh-CN"/>
        </w:rPr>
        <w:t>企业可以根据奖励金总额安排对应数量的人才申领。台湾人才和金砖人员</w:t>
      </w:r>
      <w:r>
        <w:rPr>
          <w:rFonts w:hint="eastAsia" w:ascii="仿宋" w:hAnsi="仿宋" w:eastAsia="仿宋" w:cs="仿宋"/>
          <w:b w:val="0"/>
          <w:bCs w:val="0"/>
          <w:color w:val="auto"/>
          <w:sz w:val="32"/>
          <w:szCs w:val="32"/>
          <w:highlight w:val="none"/>
          <w:lang w:val="en-US" w:eastAsia="zh-CN"/>
        </w:rPr>
        <w:t>2条补贴的总额，不超过</w:t>
      </w:r>
      <w:r>
        <w:rPr>
          <w:rFonts w:hint="eastAsia" w:ascii="仿宋" w:hAnsi="仿宋" w:eastAsia="仿宋" w:cs="仿宋"/>
          <w:b w:val="0"/>
          <w:bCs w:val="0"/>
          <w:color w:val="auto"/>
          <w:sz w:val="32"/>
          <w:szCs w:val="32"/>
          <w:highlight w:val="none"/>
          <w:lang w:eastAsia="zh-CN"/>
        </w:rPr>
        <w:t>台湾人才和金砖人才所得对集经济贡献的</w:t>
      </w:r>
      <w:r>
        <w:rPr>
          <w:rFonts w:hint="eastAsia" w:ascii="仿宋" w:hAnsi="仿宋" w:eastAsia="仿宋" w:cs="仿宋"/>
          <w:b w:val="0"/>
          <w:bCs w:val="0"/>
          <w:color w:val="auto"/>
          <w:sz w:val="32"/>
          <w:szCs w:val="32"/>
          <w:highlight w:val="none"/>
          <w:lang w:val="en-US" w:eastAsia="zh-CN"/>
        </w:rPr>
        <w:t>1.2倍。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相关奖励和补贴由企业于次年集中申报一次。如获批通过，</w:t>
      </w:r>
      <w:r>
        <w:rPr>
          <w:rFonts w:hint="eastAsia" w:ascii="仿宋" w:hAnsi="仿宋" w:eastAsia="仿宋" w:cs="仿宋"/>
          <w:b w:val="0"/>
          <w:bCs w:val="0"/>
          <w:color w:val="auto"/>
          <w:sz w:val="32"/>
          <w:szCs w:val="32"/>
          <w:highlight w:val="none"/>
          <w:lang w:eastAsia="zh-CN"/>
        </w:rPr>
        <w:t>由企业按消费券或现金的兑现方式进行选择，其中消费券金额占比不低于</w:t>
      </w:r>
      <w:r>
        <w:rPr>
          <w:rFonts w:hint="eastAsia" w:ascii="仿宋" w:hAnsi="仿宋" w:eastAsia="仿宋" w:cs="仿宋"/>
          <w:b w:val="0"/>
          <w:bCs w:val="0"/>
          <w:color w:val="auto"/>
          <w:sz w:val="32"/>
          <w:szCs w:val="32"/>
          <w:highlight w:val="none"/>
          <w:lang w:val="en-US" w:eastAsia="zh-CN"/>
        </w:rPr>
        <w:t>20%。其余</w:t>
      </w:r>
      <w:r>
        <w:rPr>
          <w:rFonts w:hint="eastAsia" w:ascii="仿宋" w:hAnsi="仿宋" w:eastAsia="仿宋" w:cs="仿宋"/>
          <w:b w:val="0"/>
          <w:bCs w:val="0"/>
          <w:color w:val="auto"/>
          <w:sz w:val="32"/>
          <w:szCs w:val="32"/>
          <w:highlight w:val="none"/>
        </w:rPr>
        <w:t>资金将拨付到企业，企业须在资金到账后两个月内拨转至相关人才个人账户，并将拨转情况上报。</w:t>
      </w:r>
      <w:r>
        <w:rPr>
          <w:rFonts w:hint="eastAsia" w:ascii="仿宋" w:hAnsi="仿宋" w:eastAsia="仿宋" w:cs="仿宋"/>
          <w:b w:val="0"/>
          <w:bCs w:val="0"/>
          <w:color w:val="auto"/>
          <w:sz w:val="32"/>
          <w:szCs w:val="32"/>
          <w:highlight w:val="none"/>
          <w:lang w:eastAsia="zh-CN"/>
        </w:rPr>
        <w:t>消费券由集美区商务局兑现，通过指定线上平台定向发放至平台个人账户，使用商家清单以公示为准。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7.重点产业人才。</w:t>
      </w:r>
      <w:r>
        <w:rPr>
          <w:rFonts w:hint="eastAsia" w:ascii="仿宋" w:hAnsi="仿宋" w:eastAsia="仿宋" w:cs="仿宋"/>
          <w:b w:val="0"/>
          <w:bCs w:val="0"/>
          <w:color w:val="auto"/>
          <w:sz w:val="32"/>
          <w:szCs w:val="32"/>
          <w:highlight w:val="none"/>
          <w:lang w:val="en-US" w:eastAsia="zh-CN"/>
        </w:rPr>
        <w:t>按照《集美区扶持重点产业企业人才实施办法》（集府规〔2021〕9号），</w:t>
      </w:r>
      <w:r>
        <w:rPr>
          <w:rFonts w:hint="eastAsia" w:ascii="仿宋" w:hAnsi="仿宋" w:eastAsia="仿宋" w:cs="仿宋"/>
          <w:b w:val="0"/>
          <w:bCs w:val="0"/>
          <w:color w:val="auto"/>
          <w:sz w:val="32"/>
          <w:szCs w:val="32"/>
          <w:highlight w:val="none"/>
          <w:u w:val="none"/>
          <w:lang w:val="en-US" w:eastAsia="zh-CN"/>
        </w:rPr>
        <w:t>给予符合条件的人才</w:t>
      </w:r>
      <w:r>
        <w:rPr>
          <w:rFonts w:hint="eastAsia" w:ascii="仿宋" w:hAnsi="仿宋" w:eastAsia="仿宋" w:cs="仿宋"/>
          <w:b w:val="0"/>
          <w:bCs w:val="0"/>
          <w:color w:val="auto"/>
          <w:sz w:val="32"/>
          <w:szCs w:val="32"/>
          <w:highlight w:val="none"/>
          <w:lang w:val="en-US" w:eastAsia="zh-CN"/>
        </w:rPr>
        <w:t>每月2500元的生活补贴，补贴期限不超过3年。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8.新引进人才一次性生活补贴。</w:t>
      </w:r>
      <w:r>
        <w:rPr>
          <w:rFonts w:hint="eastAsia" w:ascii="仿宋" w:hAnsi="仿宋" w:eastAsia="仿宋" w:cs="仿宋"/>
          <w:b w:val="0"/>
          <w:bCs w:val="0"/>
          <w:color w:val="auto"/>
          <w:sz w:val="32"/>
          <w:szCs w:val="32"/>
          <w:highlight w:val="none"/>
          <w:lang w:val="en-US" w:eastAsia="zh-CN"/>
        </w:rPr>
        <w:t>按照2021年厦门市发布的优化人才服务保障六条举措，对2021年7月1日起新引进到我区企业工作且落户厦门的全日制毕业生给予一次性生活补贴，博士（不超过40周岁）每人8万元，硕士（不超过35周岁）每人5万元，“双一流”建设高校（学科）及世界最新排名前200名大学本科（不超过30周岁）每人3万元，其他高校应届本科每人1万元（不超过30周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五、鼓励投融资支持企业快速发展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（十六）支持担保贷款贴息。</w:t>
      </w:r>
      <w:r>
        <w:rPr>
          <w:rFonts w:hint="eastAsia" w:ascii="仿宋" w:hAnsi="仿宋" w:eastAsia="仿宋" w:cs="仿宋"/>
          <w:b w:val="0"/>
          <w:bCs w:val="0"/>
          <w:color w:val="auto"/>
          <w:sz w:val="32"/>
          <w:szCs w:val="32"/>
          <w:highlight w:val="none"/>
          <w:lang w:val="en-US" w:eastAsia="zh-CN"/>
        </w:rPr>
        <w:t>按照《集美区政策性担保贷款贴息办法》（厦集财综〔2022〕23号），按就高不重复原则享受以下政策之一：（1）对经区担保公司提供担保的中小微企业，区财政按企业实缴利息(最高不超过1年期贷款市场报价利率(LPR)上浮40%的利息总额)的15%予以补贴。（2）对纳入厦门市“三高”企业培育库的企业，以及“专精特新”企业，由区担保公司提供担保后，区财政按企业实缴利息(最高不超过1年期贷款市场报价利率(LPR)上浮40%的利息总额)的20%予以补贴。（3）对经区担保公司提供担保后获得厦门市科技担保贷款贴息的科技型中小微企业，区财政再按市级贴息金额的100%予以补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b/>
          <w:bCs/>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（十七）鼓励基金投资。</w:t>
      </w:r>
      <w:r>
        <w:rPr>
          <w:rFonts w:hint="eastAsia" w:ascii="仿宋" w:hAnsi="仿宋" w:eastAsia="仿宋" w:cs="仿宋"/>
          <w:b w:val="0"/>
          <w:bCs w:val="0"/>
          <w:color w:val="auto"/>
          <w:sz w:val="32"/>
          <w:szCs w:val="32"/>
          <w:highlight w:val="none"/>
          <w:lang w:val="en-US" w:eastAsia="zh-CN"/>
        </w:rPr>
        <w:t>充分发挥杏林湾基金聚集区全国性影响力，重点吸引天使基金、创业基金、产业基金及其基金管理机构汇聚集美，为集美区产业提供资金和资源支持。按照《厦门市集美区促进私募基金行业发展办法》（厦集财综〔2022〕30号），股权投资企业投资于我区初创期的中小微创新型企业，因投资失败导致清算或减值退出而形成项目投资损失的，按其实际投资损失金额10%给予风险补助。单个项目补助额最高额为100万元，同一股权投资企业申请风险补助金额累计不超过250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仿宋" w:hAnsi="仿宋" w:eastAsia="仿宋" w:cs="仿宋"/>
          <w:b w:val="0"/>
          <w:bCs w:val="0"/>
          <w:color w:val="auto"/>
          <w:sz w:val="32"/>
          <w:szCs w:val="32"/>
          <w:highlight w:val="none"/>
          <w:lang w:eastAsia="zh-CN"/>
        </w:rPr>
        <w:t>企业和人才同时符合本措施或集美区的其他扶持政策，可选择适用，同类政策不重复享受。</w:t>
      </w:r>
      <w:r>
        <w:rPr>
          <w:rFonts w:hint="eastAsia" w:ascii="仿宋" w:hAnsi="仿宋" w:eastAsia="仿宋" w:cs="仿宋"/>
          <w:color w:val="auto"/>
          <w:sz w:val="32"/>
          <w:szCs w:val="32"/>
          <w:highlight w:val="none"/>
          <w:lang w:eastAsia="zh-CN"/>
        </w:rPr>
        <w:t>企业</w:t>
      </w:r>
      <w:r>
        <w:rPr>
          <w:rFonts w:hint="eastAsia" w:ascii="仿宋" w:hAnsi="仿宋" w:eastAsia="仿宋" w:cs="仿宋"/>
          <w:color w:val="auto"/>
          <w:sz w:val="32"/>
          <w:szCs w:val="32"/>
          <w:highlight w:val="none"/>
          <w:lang w:val="en-US" w:eastAsia="zh-CN"/>
        </w:rPr>
        <w:t>同时符合本措施或火炬高新区扶持政策的，优先享受火炬高新区政策，其中第（十）、第（十一）可叠加享受。</w:t>
      </w:r>
      <w:r>
        <w:rPr>
          <w:rFonts w:hint="eastAsia" w:ascii="仿宋" w:hAnsi="仿宋" w:eastAsia="仿宋" w:cs="仿宋"/>
          <w:color w:val="auto"/>
          <w:sz w:val="32"/>
          <w:szCs w:val="32"/>
          <w:highlight w:val="none"/>
        </w:rPr>
        <w:t>对获得上级政府扶持资金的，如上级扶持资金包含区级承担部分的，则在享受区级同类政策时应扣除上级政策区级承担部分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符合条件的企业每一年度的</w:t>
      </w:r>
      <w:r>
        <w:rPr>
          <w:rFonts w:hint="eastAsia" w:ascii="仿宋" w:hAnsi="仿宋" w:eastAsia="仿宋" w:cs="仿宋"/>
          <w:color w:val="auto"/>
          <w:sz w:val="32"/>
          <w:szCs w:val="32"/>
          <w:highlight w:val="none"/>
          <w:lang w:val="en-US" w:eastAsia="zh-CN"/>
        </w:rPr>
        <w:t>奖</w:t>
      </w:r>
      <w:r>
        <w:rPr>
          <w:rFonts w:hint="eastAsia" w:ascii="仿宋" w:hAnsi="仿宋" w:eastAsia="仿宋" w:cs="仿宋"/>
          <w:color w:val="auto"/>
          <w:sz w:val="32"/>
          <w:szCs w:val="32"/>
          <w:highlight w:val="none"/>
        </w:rPr>
        <w:t>补</w:t>
      </w:r>
      <w:r>
        <w:rPr>
          <w:rFonts w:hint="eastAsia" w:ascii="仿宋" w:hAnsi="仿宋" w:eastAsia="仿宋" w:cs="仿宋"/>
          <w:color w:val="auto"/>
          <w:sz w:val="32"/>
          <w:szCs w:val="32"/>
          <w:highlight w:val="none"/>
          <w:lang w:val="en-US" w:eastAsia="zh-CN"/>
        </w:rPr>
        <w:t>应</w:t>
      </w:r>
      <w:r>
        <w:rPr>
          <w:rFonts w:hint="eastAsia" w:ascii="仿宋" w:hAnsi="仿宋" w:eastAsia="仿宋" w:cs="仿宋"/>
          <w:color w:val="auto"/>
          <w:sz w:val="32"/>
          <w:szCs w:val="32"/>
          <w:highlight w:val="none"/>
        </w:rPr>
        <w:t>于次年集中</w:t>
      </w:r>
      <w:r>
        <w:rPr>
          <w:rFonts w:hint="eastAsia" w:ascii="仿宋" w:hAnsi="仿宋" w:eastAsia="仿宋" w:cs="仿宋"/>
          <w:color w:val="auto"/>
          <w:sz w:val="32"/>
          <w:szCs w:val="32"/>
          <w:highlight w:val="none"/>
          <w:lang w:val="en-US" w:eastAsia="zh-CN"/>
        </w:rPr>
        <w:t>完成</w:t>
      </w:r>
      <w:r>
        <w:rPr>
          <w:rFonts w:hint="eastAsia" w:ascii="仿宋" w:hAnsi="仿宋" w:eastAsia="仿宋" w:cs="仿宋"/>
          <w:color w:val="auto"/>
          <w:sz w:val="32"/>
          <w:szCs w:val="32"/>
          <w:highlight w:val="none"/>
        </w:rPr>
        <w:t>申请，逾期未申请的，视同放弃。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 w:hAnsi="仿宋" w:eastAsia="仿宋" w:cs="仿宋"/>
          <w:color w:val="auto"/>
          <w:sz w:val="32"/>
          <w:szCs w:val="32"/>
          <w:highlight w:val="none"/>
          <w:u w:val="none"/>
          <w:lang w:val="en-US" w:eastAsia="zh-CN"/>
        </w:rPr>
      </w:pPr>
      <w:r>
        <w:rPr>
          <w:rFonts w:hint="eastAsia" w:ascii="黑体" w:hAnsi="黑体" w:eastAsia="黑体" w:cs="黑体"/>
          <w:b w:val="0"/>
          <w:bCs w:val="0"/>
          <w:color w:val="auto"/>
          <w:sz w:val="32"/>
          <w:szCs w:val="32"/>
          <w:highlight w:val="none"/>
          <w:lang w:val="en-US" w:eastAsia="zh-CN"/>
        </w:rPr>
        <w:t>七、</w:t>
      </w:r>
      <w:r>
        <w:rPr>
          <w:rFonts w:hint="eastAsia" w:ascii="仿宋" w:hAnsi="仿宋" w:eastAsia="仿宋" w:cs="仿宋"/>
          <w:b w:val="0"/>
          <w:bCs w:val="0"/>
          <w:color w:val="auto"/>
          <w:sz w:val="32"/>
          <w:szCs w:val="32"/>
          <w:highlight w:val="none"/>
          <w:lang w:val="en-US" w:eastAsia="zh-CN"/>
        </w:rPr>
        <w:t>企业可按就高不重复原则享受第二条第（九）款和第（十一）款的其中一款。</w:t>
      </w:r>
      <w:r>
        <w:rPr>
          <w:rFonts w:hint="eastAsia" w:ascii="仿宋" w:hAnsi="仿宋" w:eastAsia="仿宋" w:cs="仿宋"/>
          <w:color w:val="auto"/>
          <w:sz w:val="32"/>
          <w:szCs w:val="32"/>
          <w:highlight w:val="none"/>
          <w:lang w:val="en-US" w:eastAsia="zh-CN"/>
        </w:rPr>
        <w:t>企业申请第二条第（十）、（</w:t>
      </w:r>
      <w:r>
        <w:rPr>
          <w:rFonts w:hint="eastAsia" w:ascii="仿宋" w:hAnsi="仿宋" w:eastAsia="仿宋" w:cs="仿宋"/>
          <w:b w:val="0"/>
          <w:bCs w:val="0"/>
          <w:color w:val="auto"/>
          <w:sz w:val="32"/>
          <w:szCs w:val="32"/>
          <w:highlight w:val="none"/>
          <w:lang w:val="en-US" w:eastAsia="zh-CN"/>
        </w:rPr>
        <w:t>十一</w:t>
      </w:r>
      <w:r>
        <w:rPr>
          <w:rFonts w:hint="eastAsia" w:ascii="仿宋" w:hAnsi="仿宋" w:eastAsia="仿宋" w:cs="仿宋"/>
          <w:color w:val="auto"/>
          <w:sz w:val="32"/>
          <w:szCs w:val="32"/>
          <w:highlight w:val="none"/>
          <w:lang w:val="en-US" w:eastAsia="zh-CN"/>
        </w:rPr>
        <w:t>）款的奖补资金合计不超过其当年度企业对集经济贡献。</w:t>
      </w:r>
      <w:r>
        <w:rPr>
          <w:rFonts w:hint="eastAsia" w:ascii="仿宋" w:hAnsi="仿宋" w:eastAsia="仿宋" w:cs="仿宋"/>
          <w:b w:val="0"/>
          <w:bCs w:val="0"/>
          <w:color w:val="auto"/>
          <w:sz w:val="32"/>
          <w:szCs w:val="32"/>
          <w:highlight w:val="none"/>
          <w:u w:val="none"/>
          <w:lang w:val="en-US" w:eastAsia="zh-CN"/>
        </w:rPr>
        <w:t>第二条第（九）款、（十）款、（十一）款</w:t>
      </w:r>
      <w:r>
        <w:rPr>
          <w:rFonts w:hint="eastAsia" w:ascii="仿宋" w:hAnsi="仿宋" w:eastAsia="仿宋" w:cs="仿宋"/>
          <w:color w:val="auto"/>
          <w:kern w:val="0"/>
          <w:sz w:val="32"/>
          <w:szCs w:val="32"/>
          <w:highlight w:val="none"/>
          <w:u w:val="none"/>
          <w:lang w:val="en-US" w:eastAsia="zh-CN" w:bidi="ar-SA"/>
        </w:rPr>
        <w:t>三条措施设7000 万元专项预算资金，根据年度申报情况，在给足</w:t>
      </w:r>
      <w:r>
        <w:rPr>
          <w:rFonts w:hint="eastAsia" w:ascii="仿宋" w:hAnsi="仿宋" w:eastAsia="仿宋" w:cs="仿宋"/>
          <w:b w:val="0"/>
          <w:bCs w:val="0"/>
          <w:color w:val="auto"/>
          <w:sz w:val="32"/>
          <w:szCs w:val="32"/>
          <w:highlight w:val="none"/>
          <w:u w:val="none"/>
          <w:lang w:val="en-US" w:eastAsia="zh-CN"/>
        </w:rPr>
        <w:t>第（九）款及第（十一）款</w:t>
      </w:r>
      <w:r>
        <w:rPr>
          <w:rFonts w:hint="eastAsia" w:ascii="仿宋" w:hAnsi="仿宋" w:eastAsia="仿宋" w:cs="仿宋"/>
          <w:color w:val="auto"/>
          <w:kern w:val="0"/>
          <w:sz w:val="32"/>
          <w:szCs w:val="32"/>
          <w:highlight w:val="none"/>
          <w:u w:val="none"/>
          <w:lang w:val="en-US" w:eastAsia="zh-CN" w:bidi="ar-SA"/>
        </w:rPr>
        <w:t>奖励的基础上核定</w:t>
      </w:r>
      <w:r>
        <w:rPr>
          <w:rFonts w:hint="eastAsia" w:ascii="仿宋" w:hAnsi="仿宋" w:eastAsia="仿宋" w:cs="仿宋"/>
          <w:b w:val="0"/>
          <w:bCs w:val="0"/>
          <w:color w:val="auto"/>
          <w:sz w:val="32"/>
          <w:szCs w:val="32"/>
          <w:highlight w:val="none"/>
          <w:u w:val="none"/>
          <w:lang w:val="en-US" w:eastAsia="zh-CN"/>
        </w:rPr>
        <w:t>第（十）款</w:t>
      </w:r>
      <w:r>
        <w:rPr>
          <w:rFonts w:hint="eastAsia" w:ascii="仿宋" w:hAnsi="仿宋" w:eastAsia="仿宋" w:cs="仿宋"/>
          <w:color w:val="auto"/>
          <w:kern w:val="0"/>
          <w:sz w:val="32"/>
          <w:szCs w:val="32"/>
          <w:highlight w:val="none"/>
          <w:u w:val="none"/>
          <w:lang w:val="en-US" w:eastAsia="zh-CN" w:bidi="ar-SA"/>
        </w:rPr>
        <w:t>兑现比例。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仿宋" w:hAnsi="仿宋" w:eastAsia="仿宋" w:cs="仿宋"/>
          <w:b/>
          <w:bCs/>
          <w:color w:val="auto"/>
          <w:sz w:val="32"/>
          <w:szCs w:val="32"/>
          <w:highlight w:val="none"/>
        </w:rPr>
        <w:t>　</w:t>
      </w:r>
      <w:r>
        <w:rPr>
          <w:rFonts w:hint="eastAsia" w:ascii="黑体" w:hAnsi="黑体" w:eastAsia="黑体" w:cs="黑体"/>
          <w:b w:val="0"/>
          <w:bCs w:val="0"/>
          <w:color w:val="auto"/>
          <w:sz w:val="32"/>
          <w:szCs w:val="32"/>
          <w:highlight w:val="none"/>
          <w:lang w:val="en-US" w:eastAsia="zh-CN"/>
        </w:rPr>
        <w:t>八、</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val="en-US" w:eastAsia="zh-CN"/>
        </w:rPr>
        <w:t>措施</w:t>
      </w:r>
      <w:r>
        <w:rPr>
          <w:rFonts w:hint="eastAsia" w:ascii="仿宋" w:hAnsi="仿宋" w:eastAsia="仿宋" w:cs="仿宋"/>
          <w:color w:val="auto"/>
          <w:sz w:val="32"/>
          <w:szCs w:val="32"/>
          <w:highlight w:val="none"/>
        </w:rPr>
        <w:t>所指金额均以人民币为计算单位。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0"/>
        <w:jc w:val="both"/>
        <w:textAlignment w:val="auto"/>
        <w:rPr>
          <w:rFonts w:hint="eastAsia" w:ascii="仿宋" w:hAnsi="仿宋" w:eastAsia="仿宋" w:cs="仿宋"/>
          <w:b/>
          <w:bCs/>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九、</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val="en-US" w:eastAsia="zh-CN"/>
        </w:rPr>
        <w:t>措施由</w:t>
      </w:r>
      <w:r>
        <w:rPr>
          <w:rFonts w:hint="eastAsia" w:ascii="仿宋" w:hAnsi="仿宋" w:eastAsia="仿宋" w:cs="仿宋"/>
          <w:color w:val="auto"/>
          <w:sz w:val="32"/>
          <w:szCs w:val="32"/>
          <w:highlight w:val="none"/>
        </w:rPr>
        <w:t>集美区工业和信息化局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集美区财政局、集美文教区管理委员会、集美区人力资源和社会保障局、集美区商务局、集美区文化旅游局、集美区建设局</w:t>
      </w:r>
      <w:r>
        <w:rPr>
          <w:rFonts w:hint="eastAsia" w:ascii="仿宋" w:hAnsi="仿宋" w:eastAsia="仿宋" w:cs="仿宋"/>
          <w:color w:val="auto"/>
          <w:sz w:val="32"/>
          <w:szCs w:val="32"/>
          <w:highlight w:val="none"/>
        </w:rPr>
        <w:t>负责解释。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1"/>
        <w:jc w:val="both"/>
        <w:textAlignment w:val="auto"/>
        <w:rPr>
          <w:rFonts w:hint="eastAsia" w:ascii="仿宋" w:hAnsi="仿宋" w:eastAsia="仿宋" w:cs="仿宋"/>
          <w:sz w:val="32"/>
          <w:szCs w:val="32"/>
        </w:rPr>
      </w:pPr>
      <w:r>
        <w:rPr>
          <w:rFonts w:hint="eastAsia" w:ascii="黑体" w:hAnsi="黑体" w:eastAsia="黑体" w:cs="黑体"/>
          <w:b w:val="0"/>
          <w:bCs w:val="0"/>
          <w:color w:val="auto"/>
          <w:sz w:val="32"/>
          <w:szCs w:val="32"/>
          <w:highlight w:val="none"/>
          <w:lang w:val="en-US" w:eastAsia="zh-CN"/>
        </w:rPr>
        <w:t>十、</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措施</w:t>
      </w:r>
      <w:r>
        <w:rPr>
          <w:rFonts w:hint="eastAsia" w:ascii="仿宋" w:hAnsi="仿宋" w:eastAsia="仿宋" w:cs="仿宋"/>
          <w:color w:val="auto"/>
          <w:sz w:val="32"/>
          <w:szCs w:val="32"/>
          <w:highlight w:val="none"/>
        </w:rPr>
        <w:t>自发布</w:t>
      </w:r>
      <w:r>
        <w:rPr>
          <w:rFonts w:hint="eastAsia" w:ascii="仿宋" w:hAnsi="仿宋" w:eastAsia="仿宋" w:cs="仿宋"/>
          <w:color w:val="auto"/>
          <w:sz w:val="32"/>
          <w:szCs w:val="32"/>
          <w:highlight w:val="none"/>
          <w:lang w:val="en-US" w:eastAsia="zh-CN"/>
        </w:rPr>
        <w:t>之</w:t>
      </w:r>
      <w:r>
        <w:rPr>
          <w:rFonts w:hint="eastAsia" w:ascii="仿宋" w:hAnsi="仿宋" w:eastAsia="仿宋" w:cs="仿宋"/>
          <w:color w:val="auto"/>
          <w:sz w:val="32"/>
          <w:szCs w:val="32"/>
          <w:highlight w:val="none"/>
        </w:rPr>
        <w:t>日起施行，有效期至2023年12月31日。2022年1月1日至本</w:t>
      </w:r>
      <w:r>
        <w:rPr>
          <w:rFonts w:hint="eastAsia" w:ascii="仿宋" w:hAnsi="仿宋" w:eastAsia="仿宋" w:cs="仿宋"/>
          <w:color w:val="auto"/>
          <w:sz w:val="32"/>
          <w:szCs w:val="32"/>
          <w:highlight w:val="none"/>
          <w:lang w:eastAsia="zh-CN"/>
        </w:rPr>
        <w:t>措施</w:t>
      </w:r>
      <w:r>
        <w:rPr>
          <w:rFonts w:hint="eastAsia" w:ascii="仿宋" w:hAnsi="仿宋" w:eastAsia="仿宋" w:cs="仿宋"/>
          <w:color w:val="auto"/>
          <w:sz w:val="32"/>
          <w:szCs w:val="32"/>
          <w:highlight w:val="none"/>
        </w:rPr>
        <w:t>施行前符合本</w:t>
      </w:r>
      <w:r>
        <w:rPr>
          <w:rFonts w:hint="eastAsia" w:ascii="仿宋" w:hAnsi="仿宋" w:eastAsia="仿宋" w:cs="仿宋"/>
          <w:color w:val="auto"/>
          <w:sz w:val="32"/>
          <w:szCs w:val="32"/>
          <w:highlight w:val="none"/>
          <w:lang w:eastAsia="zh-CN"/>
        </w:rPr>
        <w:t>措施</w:t>
      </w:r>
      <w:r>
        <w:rPr>
          <w:rFonts w:hint="eastAsia" w:ascii="仿宋" w:hAnsi="仿宋" w:eastAsia="仿宋" w:cs="仿宋"/>
          <w:color w:val="auto"/>
          <w:sz w:val="32"/>
          <w:szCs w:val="32"/>
          <w:highlight w:val="none"/>
        </w:rPr>
        <w:t>规定的，可依据本</w:t>
      </w:r>
      <w:r>
        <w:rPr>
          <w:rFonts w:hint="eastAsia" w:ascii="仿宋" w:hAnsi="仿宋" w:eastAsia="仿宋" w:cs="仿宋"/>
          <w:color w:val="auto"/>
          <w:sz w:val="32"/>
          <w:szCs w:val="32"/>
          <w:highlight w:val="none"/>
          <w:lang w:eastAsia="zh-CN"/>
        </w:rPr>
        <w:t>措施</w:t>
      </w:r>
      <w:r>
        <w:rPr>
          <w:rFonts w:hint="eastAsia" w:ascii="仿宋" w:hAnsi="仿宋" w:eastAsia="仿宋" w:cs="仿宋"/>
          <w:color w:val="auto"/>
          <w:sz w:val="32"/>
          <w:szCs w:val="32"/>
          <w:highlight w:val="none"/>
        </w:rPr>
        <w:t>执行。</w:t>
      </w:r>
      <w:r>
        <w:rPr>
          <w:rFonts w:hint="eastAsia" w:ascii="仿宋" w:hAnsi="仿宋" w:eastAsia="仿宋" w:cs="仿宋"/>
          <w:color w:val="auto"/>
          <w:sz w:val="32"/>
          <w:szCs w:val="32"/>
          <w:highlight w:val="none"/>
          <w:lang w:val="en-US" w:eastAsia="zh-CN"/>
        </w:rPr>
        <w:t>有效期届满后,涉及有效期内的</w:t>
      </w:r>
      <w:r>
        <w:rPr>
          <w:rFonts w:hint="eastAsia" w:ascii="仿宋" w:hAnsi="仿宋" w:eastAsia="仿宋" w:cs="仿宋"/>
          <w:b w:val="0"/>
          <w:bCs w:val="0"/>
          <w:color w:val="auto"/>
          <w:sz w:val="32"/>
          <w:szCs w:val="32"/>
          <w:highlight w:val="none"/>
          <w:u w:val="none"/>
          <w:lang w:val="en-US" w:eastAsia="zh-CN"/>
        </w:rPr>
        <w:t>第二条第</w:t>
      </w:r>
      <w:r>
        <w:rPr>
          <w:rFonts w:hint="eastAsia" w:ascii="仿宋" w:hAnsi="仿宋" w:eastAsia="仿宋" w:cs="仿宋"/>
          <w:color w:val="auto"/>
          <w:sz w:val="32"/>
          <w:szCs w:val="32"/>
          <w:highlight w:val="none"/>
          <w:u w:val="none"/>
          <w:lang w:val="en-US" w:eastAsia="zh-CN"/>
        </w:rPr>
        <w:t>（八）款“给予上规模奖励”、第（九）款“</w:t>
      </w:r>
      <w:r>
        <w:rPr>
          <w:rFonts w:hint="eastAsia" w:ascii="仿宋" w:hAnsi="仿宋" w:eastAsia="仿宋" w:cs="仿宋"/>
          <w:color w:val="auto"/>
          <w:sz w:val="32"/>
          <w:szCs w:val="32"/>
          <w:highlight w:val="none"/>
          <w:lang w:val="en-US" w:eastAsia="zh-CN"/>
        </w:rPr>
        <w:t>鼓励企业增产增效”以及第（十）款“鼓励自主研发投入”条款,延续至政策执行完毕，除前述两项条款外的其他条款不再执行。</w:t>
      </w:r>
    </w:p>
    <w:p/>
    <w:sectPr>
      <w:pgSz w:w="11906" w:h="16838"/>
      <w:pgMar w:top="1327" w:right="1800" w:bottom="132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12617"/>
    <w:rsid w:val="21812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2023-02-20T08:38:00Z</dcterms:created>
  <dc:creator>zhangyanyun</dc:creator>
  <cp:lastModifiedBy>zhangyanyun</cp:lastModifiedBy>
  <dcterms:modified xsi:type="dcterms:W3CDTF">2023-02-20T08:50:00Z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