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2025年-2026年杏林街道养老服务设施专业化运营</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CGXM-2025-350211-00120[2025]00042</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[350211]FX[GK]2025007</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厦门市集美区杏林街道党群服务中心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厦门方信采购招标有限公司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2025年05月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厦门方信采购招标有限公司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2025年-2026年杏林街道养老服务设施专业化运营</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CGXM-2025-350211-00120[2025]00042</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[350211]FX[GK]2025007</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 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“信用记录查询结果”的补充要求</w:t>
            </w:r>
          </w:p>
        </w:tc>
        <w:tc>
          <w:tcPr>
            <w:tcW w:type="dxa" w:w="4614"/>
          </w:tcPr>
          <w:p>
            <w:pPr>
              <w:pStyle w:val="null3"/>
              <w:jc w:val="both"/>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①信用记录查询渠道：中国政府采购网（http://www.ccgp.gov.cn/search/cr）、信用中国网站（https://www.creditchina.gov.cn）、信用厦门网站（https://credit.xm.gov.cn）；②信用记录查询的截止时点：本项目投标截止时间当日；③查询记录和证据留存的具体方式：资格审查小组将查询结果网页打印后随采购文件一并存档；④信用信息使用规则：a.查询结果显示投标人参加本项目采购活动(信用记录查询的截止时点)前三年内存在不良信用记录（包含列入失信被执行人、重大税收违法失信主体、政府采购严重违法失信行为记录名单及其他不符合《中华人民共和国政府采购法》第二十二条规定条件）的，其资格审查不合格。b.因查询渠道网站原因导致查无投标人信息的，不认定投标人资格审查不合格；评审结束后，通过其他渠道发现投标人存在不良信用记录的，不认定为资格审查错误，将依照有关规定进行调查处理。c.联合体成员存在不良信用记录的，视同联合体存在不良信用记录，联合体资格审查不合格。⑤投标人无需提供信用信息查询结果。若投标人自行提供查询结果的，仍以资格审查人员查询结果为准。⑥招标文件其他地方要求与本条款要求不一致的，以本条款要求为准。</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厦门市集美区杏林街道党群服务中心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厦门市集美区杏南路33号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361022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0592-6288580</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厦门方信采购招标有限公司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厦门市集美区杏林湾路482号1604单元</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361022</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叶颖燕、纪昇、何翠平</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0592-5661151、0592-6373595</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厦门方信采购招标有限公司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2,566,564.00</w:t>
      </w:r>
    </w:p>
    <w:p>
      <w:pPr>
        <w:pStyle w:val="null3"/>
        <w:jc w:val="left"/>
      </w:pPr>
      <w:r>
        <w:rPr>
          <w:rFonts w:ascii="仿宋_GB2312" w:hAnsi="仿宋_GB2312" w:cs="仿宋_GB2312" w:eastAsia="仿宋_GB2312"/>
        </w:rPr>
        <w:t>采购包最高限价（元）: 2,566,564.00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2025年-2026年杏林街道养老服务设施专业化运营</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2,566,564.00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2025年-2026年杏林街道养老服务设施专业化运营</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2,566,564.00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投标人应自行编制投标报价明细表，并上传至投标报价部分。</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2025年-2026年杏林街道养老服务设施专业化运营</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2025年-2026年杏林街道养老服务设施专业化运营</w:t>
            </w:r>
          </w:p>
        </w:tc>
        <w:tc>
          <w:tcPr>
            <w:tcW w:type="dxa" w:w="2076"/>
          </w:tcPr>
          <w:p>
            <w:pPr>
              <w:pStyle w:val="null3"/>
              <w:jc w:val="left"/>
            </w:pPr>
            <w:r>
              <w:rPr>
                <w:rFonts w:ascii="仿宋_GB2312" w:hAnsi="仿宋_GB2312" w:cs="仿宋_GB2312" w:eastAsia="仿宋_GB2312"/>
              </w:rPr>
              <w:t>2025年-2026年杏林街道养老服务设施专业化运营</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2,566,564.00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投标人应自行编制投标报价明细表，并上传至投标报价部分。</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评标总得分相同的，按照评标价（即价格扣除后的投标报价，下同）由低到高顺序排列；评标总得分且评标价均相同的，按技术项评审因素得分由高到低顺序排列；评标总得分、评标价及技术项评审因素得分均相同的，由评标委员会采取现场随机抽取方式确定其排列先后顺序。</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厦门方信采购招标有限公司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厦门市集美区财政局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代理服务费收费标准：1、关于招标代理服务费 1.1本项目类别：服务； 1.2收费标准以单个采购包的中标总金额为基数，按差额定率累进法计取。本项目的招标代理服务费收费标准如下： （0，100]万元 1.5%；（100，500]万元 0.8%； 1.3招标代理服务费由中标人在领取中标通知书的同时，以转账、电汇、现金存款等付款方式一次性缴清； 1.4服务费缴交账户：开户行：中国建设银行厦门杏林支行，开户名：厦门方信采购招标有限公司，账号：35101536001050005459。 2、中标人企业符合中小企业政策规定的，中标后可享受服务费下浮10%的优惠。投标人若欲享受中小企业招标代理服务费优惠，应根据本项目中小企业划分标准所属行业，依据《中小企业划型标准规定》工信部联企业〔2011〕300号文进行认定，并在投标文件中提交本企业的《中小企业声明函》，投标人提供的本企业的《中小企业声明函》中填写的行业应与招标文件规定的一致，否则不享受中小企业招标代理服务费优惠。</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本项目采用综合评分法，投标人在递交投标文件截止时间前应对所有细微偏差进行解释说明，评标过程中将不再要求对细微偏差进行解释说明，本条款与第四章-6.3-（4）中的第②条“评标委员会将以书面形式要求存在细微偏差的投标人在评标委员会规定的时间内予以补正。若无法补正，则评标委员会将按不利于投标人的内容进行认定。”条款有冲突的以本条款为准。 2、针对《投标人须知前附表》表1序号9的补充说明：来函件应为加盖投标人公章、留有联系方式的原件；代理机构地址：厦门市集美区杏林湾路482号1604单元前台，收件人：王小姐，电话：0592-8888601，邮箱：xmfxdwbm@163.com。【注：投标人提交质疑须附上系统报名截图，质疑函须符合第三章第15条质疑的要求。投标人对招标文件、招标过程或评审结果提出的质疑须在规定时间内一次性完整提出，否则代理机构有权不予受理。】 3、友情提醒 3.1网上报名：登录福建省政府采购网厦门分网“服务专区/操作指南/供应商操作指南”中，下载《供应商-福建项目电子化交易操作手册》，按手册指引操作。 3.2请投标人及时进行网上报名并提前办理CA。 4、招标文件第四章第1.3条（2）投标人的资格及资信证明文件中①一般资格证明文件“（2）营业执照等证明文件”的要求中补充：“②银行、保险、石油石化、电力、电信、邮政、铁路等特殊行业，总公司可授权其分公司独立参加政府采购活动，其民事责任由总公司承担。投标人须提供相关授权证明，否则将认定为资格审查不合格，投标无效。”</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第四章/一、资格审查/一般资格证明文件/序号8信用记录查询结果及第七章/二-3信用记录查询提示中‘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经查询，投标人参加本项目采购活动(本项目投标截止当日)前三年内被列入失信被执行人名单、重大税收违法失信主体、政府采购严重违法失信行为记录名单及其他重大违法记录且相关信用惩戒期限未满的，其资格审查不合格。”</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关于开标的说明： （1）本项目采用“远程开标”，投标人可到开标现场，也可不到开标现场，由投标人自行决定。 （2）投标人不到开标现场的，请在福建省政府采购网厦门分网“服务专区/操作指南/供应商操作指南”中，下载《供应商-福建项目电子化交易操作手册》，在开标时自行登录采购系统，线上观看开标过程，并按要求在开标时段对投标文件进行远程解密、远程签章。 （3）投标人应确保自身设施、设备、网络状况良好，提前了解熟悉远程开标流程，因投标人自身原因造成无法正常观看开标过程、远程解密或签章的，后果由投标人自行承担。 （4）在规定的时间内正确提交电子投标文件的投标人在开标时将由系统判断签到情况，具体信息以福建省政府采购网上公开信息系统所示为准。 （5）投标人应在远程解密开启后在规定时间（30分钟）内使用CA数字证书（应与投标文件加密时所用CA证书一致）进行投标文件的解密操作，逾期未解密的视为放弃投标。 （6）唱标结束后，投标人可对开标结果进行签章，并在远程签章开放后5分钟内完成，逾期未签章的视同认可开标结果。 （7）开、评标期间，投标人代表应保证采购系统中预留的联系方式畅通，以便随时接收并答复评标委员会发起的澄清等事项。 （8）在操作过程中如有疑问请咨询技术人员（400-1612-666、0592-2858142）或采购代 理机构工作人员。</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厦门方信采购招标有限公司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厦门方信采购招标有限公司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厦门方信采购招标有限公司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厦门方信采购招标有限公司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厦门方信采购招标有限公司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厦门方信采购招标有限公司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厦门方信采购招标有限公司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厦门方信采购招标有限公司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厦门方信采购招标有限公司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厦门方信采购招标有限公司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厦门方信采购招标有限公司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厦门方信采购招标有限公司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厦门方信采购招标有限公司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厦门方信采购招标有限公司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厦门方信采购招标有限公司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厦门方信采购招标有限公司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厦门方信采购招标有限公司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厦门方信采购招标有限公司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厦门方信采购招标有限公司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厦门方信采购招标有限公司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厦门方信采购招标有限公司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厦门方信采购招标有限公司</w:t>
      </w:r>
      <w:r>
        <w:rPr>
          <w:rFonts w:ascii="仿宋_GB2312" w:hAnsi="仿宋_GB2312" w:cs="仿宋_GB2312" w:eastAsia="仿宋_GB2312"/>
        </w:rPr>
        <w:t xml:space="preserve"> 提出询问， </w:t>
      </w:r>
      <w:r>
        <w:rPr>
          <w:rFonts w:ascii="仿宋_GB2312" w:hAnsi="仿宋_GB2312" w:cs="仿宋_GB2312" w:eastAsia="仿宋_GB2312"/>
        </w:rPr>
        <w:t>厦门方信采购招标有限公司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厦门方信采购招标有限公司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厦门方信采购招标有限公司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由厦门方信采购招标有限公司派出的工作人员至少1人，</w:t>
      </w:r>
      <w:r>
        <w:rPr>
          <w:rFonts w:ascii="仿宋_GB2312" w:hAnsi="仿宋_GB2312" w:cs="仿宋_GB2312" w:eastAsia="仿宋_GB2312"/>
        </w:rPr>
        <w:t>其余1人可为采购人代表或厦门方信采购招标有限公司的工作人员。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 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“信用记录查询结果”的补充要求</w:t>
            </w:r>
          </w:p>
        </w:tc>
        <w:tc>
          <w:tcPr>
            <w:tcW w:type="dxa" w:w="4614"/>
          </w:tcPr>
          <w:p>
            <w:pPr>
              <w:pStyle w:val="null3"/>
              <w:jc w:val="left"/>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①信用记录查询渠道：中国政府采购网（http://www.ccgp.gov.cn/search/cr）、信用中国网站（https://www.creditchina.gov.cn）、信用厦门网站（https://credit.xm.gov.cn）；②信用记录查询的截止时点：本项目投标截止时间当日；③查询记录和证据留存的具体方式：资格审查小组将查询结果网页打印后随采购文件一并存档；④信用信息使用规则：a.查询结果显示投标人参加本项目采购活动(信用记录查询的截止时点)前三年内存在不良信用记录（包含列入失信被执行人、重大税收违法失信主体、政府采购严重违法失信行为记录名单及其他不符合《中华人民共和国政府采购法》第二十二条规定条件）的，其资格审查不合格。b.因查询渠道网站原因导致查无投标人信息的，不认定投标人资格审查不合格；评审结束后，通过其他渠道发现投标人存在不良信用记录的，不认定为资格审查错误，将依照有关规定进行调查处理。c.联合体成员存在不良信用记录的，视同联合体存在不良信用记录，联合体资格审查不合格。⑤投标人无需提供信用信息查询结果。若投标人自行提供查询结果的，仍以资格审查人员查询结果为准。⑥招标文件其他地方要求与本条款要求不一致的，以本条款要求为准。</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资格及资信证明部分中不得出现报价部分的全部或部分的投标报价信息（或组成资料），否则资格审查不合格。（联合体协议、分包意向协议或预留中小企业份额中的比例规定，不适用本条款）</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厦门方信采购招标有限公司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厦门方信采购招标有限公司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厦门方信采购招标有限公司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厦门方信采购招标有限公司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厦门方信采购招标有限公司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技术商务部分中不得出现报价部分的全部或部分的投标报价信息（或组成资料），否则符合性审查不合格。</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本项目设有最高限价（即本项目预算金额），投标人的投标报价超出最高限价的，视为无效投标。</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厦门方信采购招标有限公司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投标报价得分＝（评标基准价/投标报价）×价格满分分值（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1、对小、微企业报价给予15%（工程项目为5%）的扣除。 2、联合协议或分包意向协议约定小微企业的合同份额占到合同总金额30%以上的，对联合体的报价给予 5%（工程项目为3%）的扣除。以联合体形式参加政府采购活动，联合体各方均为中小企业的，联合体视同中小企业。其中，联合体各方均为小微企业的，联合体视同小微企业。 3、监狱企业视同上述中小企业享受政府采购扶持政策。 4、残疾人福利性单位提供本单位制造的货物、承担的工程或服务，或提供其他残疾人福利性单位制造的货物（不包括使用非残疾人福利性单位注册商标的货物），对报价给予 15%（工程项目为 5%）的扣除。 说明：①本项目中小企业划分标准所属行业：其他未列明行业。 ②投标人须根据本项目中小企业划分标准所属行业，依据《中小企业划型标准规定》工信部联企业〔2011〕300号文在投标文件中提交《中小企业声明函》。 ③符合中小企业划分标准的个体工商户，在政府采购活动中视同中小企业。 ④不享受价格扣除优惠政策情形： a.在货物采购项目中，投标人提供的货物既有中小企业制造货物，也有大型企业制造货物的，不享受中小企业扶持政策； b.中小企业与大企业的负责人为同一人，或者与大企业存在直接控股、管理关系； c.组成联合体或者接受分包合同的中小企业与联合体内其他企业、分包企业之间不得存在直接控股、管理关系； d.法律规定的其他情形。 【提醒：投标人可在此模块上传投标分项报价等报价相关材料。】</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养老服务设施专业化运营服务大纲情况进行评价：①大纲包括但不限于目标定位、服务宗旨和服务理念方案等内容的得2分；②方案在①的基础上，内容阐述详细、具体、完整，重点突出，能结合项目实际需求，切实保障项目实施的得3分；未提供方案或者方案不符合项目实施的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针对“宁宝社区居家养老服务站”提供个性化服务方案：①能够针对地理位置、经济条件、场地设施、站点及周边情况等维度设计提供对应的个性化服务方案的得0.5分；②服务方案包括但不限于服务计划、服务内容实施等，明确项目服务流程，明确各工作节点服务重点及服务质量保证措施的得0.5分；本项满分1分。未提供方案或者方案不符合项目实施的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针对“纺织社区居家养老服务站”提供个性化服务方案：①能够针对地理位置、经济条件、场地设施、站点及周边情况等维度设计提供对应的个性化服务方案的得0.5分；②服务方案包括但不限于服务计划、服务内容实施等，明确项目服务流程，明确各工作节点服务重点及服务质量保证措施的得0.5分；本项满分1分。未提供方案或者方案不符合项目实施的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针对“杏北社区居家养老服务站”提供个性化服务方案：①能够针对地理位置、经济条件、场地设施、站点及周边情况等维度设计提供对应的个性化服务方案的得0.5分；②服务方案包括但不限于服务计划、服务内容实施等，明确项目服务流程，明确各工作节点服务重点及服务质量保证措施的得0.5分；本项满分1分。未提供方案或者方案不符合项目实施的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针对“曾营社区居家养老服务站”提供个性化服务方案：①能够针对地理位置、经济条件、场地设施、站点及周边情况等维度设计提供对应的个性化服务方案的得0.5分；②服务方案包括但不限于服务计划、服务内容实施等，明确项目服务流程，明确各工作节点服务重点及服务质量保证措施的得0.5分；本项满分1分。未提供方案或者方案不符合项目实施的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针对“高浦社区居家养老服务站”提供个性化服务方案：①能够针对地理位置、经济条件、场地设施、站点及周边情况等维度设计提供对应的个性化服务方案的得0.5分；②服务方案包括但不限于服务计划、服务内容实施等，明确项目服务流程，明确各工作节点服务重点及服务质量保证措施的得0.5分；本项满分1分。未提供方案或者方案不符合项目实施的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针对“内林社区居家养老服务站”提供个性化服务方案：①能够针对地理位置、经济条件、场地设施、站点及周边情况等维度设计提供对应的个性化服务方案的得0.5分；②服务方案包括但不限于服务计划、服务内容实施等，明确项目服务流程，明确各工作节点服务重点及服务质量保证措施的得0.5分；本项满分1分。未提供方案或者方案不符合项目实施的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针对“杏林社区居家养老服务站”提供个性化服务方案：①能够针对地理位置、经济条件、场地设施、站点及周边情况等维度设计提供对应的个性化服务方案的得0.5分；②服务方案包括但不限于服务计划、服务内容实施等，明确项目服务流程，明确各工作节点服务重点及服务质量保证措施的得0.5分；本项满分1分。未提供方案或者方案不符合项目实施的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针对“西亭社区居家养老服务站”提供个性化服务方案：①能够针对地理位置、经济条件、场地设施、站点及周边情况等维度设计提供对应的个性化服务方案的得0.5分；②服务方案包括但不限于服务计划、服务内容实施等，明确项目服务流程，明确各工作节点服务重点及服务质量保证措施的得0.5分；本项满分1分。未提供方案或者方案不符合项目实施的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针对“宁海社区居家养老服务站”提供个性化服务方案：①能够针对地理位置、经济条件、场地设施、站点及周边情况等维度设计提供对应的个性化服务方案的得0.5分；②服务方案包括但不限于服务计划、服务内容实施等，明确项目服务流程，明确各工作节点服务重点及服务质量保证措施的得0.5分；本项满分1分。未提供方案或者方案不符合项目实施的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针对“园博社区居家养老服务站”提供个性化服务方案：①能够针对地理位置、经济条件、场地设施、站点及周边情况等维度设计提供对应的个性化服务方案的得0.5分；②服务方案包括但不限于服务计划、服务内容实施等，明确项目服务流程，明确各工作节点服务重点及服务质量保证措施的得0.5分；本项满分1分。未提供方案或者方案不符合项目实施的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针对“莲亭社区居家养老服务站”提供个性化服务方案：①能够针对地理位置、经济条件、场地设施、站点及周边情况等维度设计提供对应的个性化服务方案的得0.5分；②服务方案包括但不限于服务计划、服务内容实施等，明确项目服务流程，明确各工作节点服务重点及服务质量保证措施的得0.5分；本项满分1分。未提供方案或者方案不符合项目实施的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不同类型的老人群体制定突发情况分析及处理措施（包括但不限于紧急救助、应急救援预案、应急人员配置等）进行评价：①突发情况分析及处理措施包括但不限于紧急救助、应急救援预案、应急人员配置等内容的得2分；②在①基础上内容阐述详细、具体、完整，重点突出，能结合项目实际需求，切实保障项目实施的得3分；未提供方案或者方案不符合项目实施的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不同类型老人群体提供个性化、专业化的服务方案进行评价：①方案至少包含6种及以上“老人人群分类”个性化、专业化的服务内容的得2分；②在①的基础上，方案内容阐述详细、具体、完整，重点突出，能结合项目实际需求，切实保障项目实施的得3分；未提供方案或者方案不符合项目实施的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提供的对养老服务的宣传方案（至少包含①宣传团队整体结构、②老年人政策法规、③健康保健、④孝道文化）进行评价：每提供上述一项符合项目实际情况的内容得0.75分，本项满分3分。未提供方案或者方案不符合项目实施的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根据投标人针对本项目提供的对老年人“六助”方案进行评价：至少包含助洁、助浴、助行、助急、助医、助乐方案的得3分；未完整提供方案或者方案不符合项目实施要求的不得分。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承诺进行评价：若中标，承诺自合同签订之日起的10日内，中标人为每个居家养老服务站至少派驻2名助老员（需满足①1名持有社工证②1名具有大专以上学历），超过1000名老人的至少增加1名助老员。助老员由中标人派遣入驻村（居）提供服务，工资待遇由中标人负责统筹发放。投标人须根据网点信息表中各村（居）户籍老人人数，配备足额服务人员人数，但所配备服务人员人数不设上限（投标人可根据自身响应情况增加）。须提供书面承诺函（格式自拟），完全满足的得2分，未提供承诺函或所提供的承诺未满足招标文件要求的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为本项目拟配备的项目负责人进行评价：持有中级及以上社会工作师、或高级工（三级）及以上养老护理员、或高级工（三级）及以上老年人能力评估师资格证书的，每提供一种证书的得1分，本项满分3分。【注：投标人需提供①人员有效证书扫描件；②书面承诺相关证书在“技能人才评价证书全国联网查询”网站（zscx.osta.org.cn/）或“中国人事考试网”（cpta.com.cn）查询真实有效；③投标人近3个月内任意1个月（不含投标截止时间的当月，投标人因当月新成立无法提供社保证明的，应提供相关劳动合同佐证，视同符合要求）为其缴纳的社保证明复印件并加盖投标人公章，否则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提供的服务团队配置（不含项目负责人）情况进行评价：人员中持有中级及以上社会工作师、或高级工（三级）及以上养老护理员、或高级工（三级）及以上老年人能力评估师资格证书的，每提供一种证书的得1分，本项满分3分。【注：投标人需提供①人员有效证书扫描件；②书面承诺相关证书在“技能人才评价证书全国联网查询”网站（zscx.osta.org.cn/）或“中国人事考试网”（www.cpta.com.cn）查询真实有效；③投标人近3个月内任意1个月（不含投标截止时间的当月，投标人因当月新成立无法提供社保证明的，应提供相关劳动合同佐证，视同符合要求）为其缴纳的社保证明复印件并加盖投标人公章，否则不得分。】</w:t>
            </w:r>
          </w:p>
        </w:tc>
      </w:tr>
      <w:tr>
        <w:tc>
          <w:tcPr>
            <w:tcW w:type="dxa" w:w="3322"/>
          </w:tcPr>
          <w:p>
            <w:pPr>
              <w:pStyle w:val="null3"/>
              <w:jc w:val="both"/>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承诺中标后建立区域配餐中心及运营助餐点并提供针对本项目的运营方案进行评价：投标人应针对上述内容提供书面承诺且提供的方案包括但不限于根据社区养老服务以及日常行政、业务管理合理设置职能部门、日常工作管理等的得3分，未提供或不符合的不得分。</w:t>
            </w:r>
          </w:p>
        </w:tc>
      </w:tr>
      <w:tr>
        <w:tc>
          <w:tcPr>
            <w:tcW w:type="dxa" w:w="3322"/>
          </w:tcPr>
          <w:p>
            <w:pPr>
              <w:pStyle w:val="null3"/>
              <w:jc w:val="both"/>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根据投标人针对本项目提供的送餐服务方案进行评价：包括但不限于配送方式、配送服务、特殊群体老人免费送餐服务承诺等的得3分，未提供方案或者方案不符合项目实施的不得分。</w:t>
            </w:r>
          </w:p>
        </w:tc>
      </w:tr>
      <w:tr>
        <w:tc>
          <w:tcPr>
            <w:tcW w:type="dxa" w:w="3322"/>
          </w:tcPr>
          <w:p>
            <w:pPr>
              <w:pStyle w:val="null3"/>
              <w:jc w:val="both"/>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投标人中标后每季度开展居家上门服务次数不低于本项目招标文件第五章“1.2服务内容及标准”中“1.2.5上门服务”条款的相关规定。投标人应提供书面承诺并加盖投标人公章，完全响应的得3分，否则不得分。</w:t>
            </w:r>
          </w:p>
        </w:tc>
      </w:tr>
      <w:tr>
        <w:tc>
          <w:tcPr>
            <w:tcW w:type="dxa" w:w="3322"/>
          </w:tcPr>
          <w:p>
            <w:pPr>
              <w:pStyle w:val="null3"/>
              <w:jc w:val="both"/>
            </w:pPr>
            <w:r>
              <w:rPr>
                <w:rFonts w:ascii="仿宋_GB2312" w:hAnsi="仿宋_GB2312" w:cs="仿宋_GB2312" w:eastAsia="仿宋_GB2312"/>
              </w:rPr>
              <w:t>1-23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投标人承诺，若中标，提供的管理平台数据与“集美养老服务监管平台”、“厦门市养老服务与监管信息平台”数据对接(url接口调用)。投标人应提供书面承诺并加盖投标人公章，完全满足的得3分，否则不得分。</w:t>
            </w:r>
          </w:p>
        </w:tc>
      </w:tr>
      <w:tr>
        <w:tc>
          <w:tcPr>
            <w:tcW w:type="dxa" w:w="3322"/>
          </w:tcPr>
          <w:p>
            <w:pPr>
              <w:pStyle w:val="null3"/>
              <w:jc w:val="both"/>
            </w:pPr>
            <w:r>
              <w:rPr>
                <w:rFonts w:ascii="仿宋_GB2312" w:hAnsi="仿宋_GB2312" w:cs="仿宋_GB2312" w:eastAsia="仿宋_GB2312"/>
              </w:rPr>
              <w:t>1-24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将为所运营的场地购买场地责任险和食品安全责任险，承诺每个场地保额≥200万元的得3分；200万元＞承诺保额≥150万元得2分；150万元＞承诺保额≥100万元得1分。本项满分3分。投标人应提供书面承诺并加盖投标人公章，否则不得分。</w:t>
            </w:r>
          </w:p>
        </w:tc>
      </w:tr>
      <w:tr>
        <w:tc>
          <w:tcPr>
            <w:tcW w:type="dxa" w:w="3322"/>
          </w:tcPr>
          <w:p>
            <w:pPr>
              <w:pStyle w:val="null3"/>
              <w:jc w:val="both"/>
            </w:pPr>
            <w:r>
              <w:rPr>
                <w:rFonts w:ascii="仿宋_GB2312" w:hAnsi="仿宋_GB2312" w:cs="仿宋_GB2312" w:eastAsia="仿宋_GB2312"/>
              </w:rPr>
              <w:t>1-25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投标人中标后须对养老服务数据信息进行保密，并在合同签订时同时与采购人签订服务承诺。投标人应提供书面承诺并加盖投标人公章，完全响应的得2分，否则不得分。</w:t>
            </w:r>
          </w:p>
        </w:tc>
      </w:tr>
      <w:tr>
        <w:tc>
          <w:tcPr>
            <w:tcW w:type="dxa" w:w="3322"/>
          </w:tcPr>
          <w:p>
            <w:pPr>
              <w:pStyle w:val="null3"/>
              <w:jc w:val="both"/>
            </w:pPr>
            <w:r>
              <w:rPr>
                <w:rFonts w:ascii="仿宋_GB2312" w:hAnsi="仿宋_GB2312" w:cs="仿宋_GB2312" w:eastAsia="仿宋_GB2312"/>
              </w:rPr>
              <w:t>1-26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中标后，除自身服务人员以外还将整合当地志愿者服务队伍为周边老人提供服务。①投标人应针对上述内容提供书面承诺并加盖投标人公章的得1.5分；②投标人针对本项目提供当地志愿者服务队伍整合方案（方案包括但不限于团队整合目标、整合方式、实施措施等内容）的得1.5分；本项满分3分。未提供方案或方案内容与本项目实际情况不符的不得分。</w:t>
            </w:r>
          </w:p>
        </w:tc>
      </w:tr>
      <w:tr>
        <w:tc>
          <w:tcPr>
            <w:tcW w:type="dxa" w:w="3322"/>
          </w:tcPr>
          <w:p>
            <w:pPr>
              <w:pStyle w:val="null3"/>
              <w:jc w:val="both"/>
            </w:pPr>
            <w:r>
              <w:rPr>
                <w:rFonts w:ascii="仿宋_GB2312" w:hAnsi="仿宋_GB2312" w:cs="仿宋_GB2312" w:eastAsia="仿宋_GB2312"/>
              </w:rPr>
              <w:t>1-27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制定的服务质量自我监管制度（至少包含①工作制度、②各项工作岗位职责、③服务质量考核机制及考核指标）进行评价：每提供上述一项符合项目实际情况的内容得1分，本项满分3分。未提供制度或制度内容与本项目实际情况不符的不得分。</w:t>
            </w:r>
          </w:p>
        </w:tc>
      </w:tr>
      <w:tr>
        <w:tc>
          <w:tcPr>
            <w:tcW w:type="dxa" w:w="3322"/>
          </w:tcPr>
          <w:p>
            <w:pPr>
              <w:pStyle w:val="null3"/>
              <w:jc w:val="both"/>
            </w:pPr>
            <w:r>
              <w:rPr>
                <w:rFonts w:ascii="仿宋_GB2312" w:hAnsi="仿宋_GB2312" w:cs="仿宋_GB2312" w:eastAsia="仿宋_GB2312"/>
              </w:rPr>
              <w:t>1-28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投入本项目信息化运营管理系统进行评价：各站点应实现养老服务设施信息化运营，配备相应管理系统及硬件设备。提供包含：基本数据信息管理、活动管理、居家上门服务过程管理、助餐管理、志愿服务管理、服务实时在线督察、7×24小时一键求援等相关类型功能服务。投标人需同时提供①书面承诺所投产品能够满足以上功能要求并加盖投标人公章；②具备相关功能软件的自主知识产权（软件著作权）证书扫描件；若为购买软件，还需提供购置相关软件管理系统的购置发票扫描件。完全满足的得3分，否则不得分。</w:t>
            </w:r>
          </w:p>
        </w:tc>
      </w:tr>
    </w:tbl>
    <w:p>
      <w:pPr>
        <w:pStyle w:val="null3"/>
        <w:jc w:val="both"/>
      </w:pPr>
      <w:r>
        <w:rPr>
          <w:rFonts w:ascii="仿宋_GB2312" w:hAnsi="仿宋_GB2312" w:cs="仿宋_GB2312" w:eastAsia="仿宋_GB2312"/>
        </w:rPr>
        <w:t>商务项（F3×A3）满分为10.0000分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有质量管理体系认证证书且认证范围包含养老服务或社会工作专业服务相关类别的，证书应在全国认证认可信息公共服务平台可查询，且在投标截止时证书应处于有效状态。投标人须提供证书扫描件，并承诺证书在全国认证认可信息公共服务平台（cx.cnca.cn）查询真实有效。完全满足上述要求的得1分，否则不得分。</w:t>
            </w:r>
          </w:p>
        </w:tc>
      </w:tr>
      <w:tr>
        <w:tc>
          <w:tcPr>
            <w:tcW w:type="dxa" w:w="3322"/>
          </w:tcPr>
          <w:p>
            <w:pPr>
              <w:pStyle w:val="null3"/>
              <w:jc w:val="both"/>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有职业健康安全管理体系认证证书且认证范围包含养老服务或社会工作专业服务相关类别，证书应在全国认证认可信息公共服务平台可查询，且在投标截止时证书应处于有效状态。投标人须提供证书扫描件，并承诺证书在全国认证认可信息公共服务平台（cx.cnca.cn）查询真实有效。完全满足上述要求的得1分，否则不得分。</w:t>
            </w:r>
          </w:p>
        </w:tc>
      </w:tr>
      <w:tr>
        <w:tc>
          <w:tcPr>
            <w:tcW w:type="dxa" w:w="3322"/>
          </w:tcPr>
          <w:p>
            <w:pPr>
              <w:pStyle w:val="null3"/>
              <w:jc w:val="both"/>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有环境管理体系认证证书且认证范围包含养老服务或社会工作专业服务相关类别，证书应在全国认证认可信息公共服务平台可查询，且在投标截止时证书应处于有效状态。投标人须提供证书扫描件，并承诺证书在全国认证认可信息公共服务平台（cx.cnca.cn）查询真实有效。完全满足上述要求的得1分，否则不得分。</w:t>
            </w:r>
          </w:p>
        </w:tc>
      </w:tr>
      <w:tr>
        <w:tc>
          <w:tcPr>
            <w:tcW w:type="dxa" w:w="3322"/>
          </w:tcPr>
          <w:p>
            <w:pPr>
              <w:pStyle w:val="null3"/>
              <w:jc w:val="both"/>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提供的服务团队培训管理制度（至少包含：①培训制度、②培训计划、③培训内容）进行评价：每提供上述一项内容得1分，满分3分。未按要求提供培训制度或培训制度与实际情况无关的不得分。</w:t>
            </w:r>
          </w:p>
        </w:tc>
      </w:tr>
      <w:tr>
        <w:tc>
          <w:tcPr>
            <w:tcW w:type="dxa" w:w="3322"/>
          </w:tcPr>
          <w:p>
            <w:pPr>
              <w:pStyle w:val="null3"/>
              <w:jc w:val="both"/>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根据投标人针对本项目提供的档案管理制度（包括但不限于①服务档案模板、②档案登记跟踪管理制度等）进行评价：每提供上述一项内容得1分，满分2分。未提供制度或制度与实际情况无关的不得分。</w:t>
            </w:r>
          </w:p>
        </w:tc>
      </w:tr>
      <w:tr>
        <w:tc>
          <w:tcPr>
            <w:tcW w:type="dxa" w:w="3322"/>
          </w:tcPr>
          <w:p>
            <w:pPr>
              <w:pStyle w:val="null3"/>
              <w:jc w:val="both"/>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应为本项目提供本地化服务，投标人可提供合作单位协议或者自身机构的营业执照证明，也可以提供在本地设立的项目部、办公室、办事处等机构证明，或者承诺中标后20个工作日内提供本地化服务保障并提供具体措施的得2分，否则不得分。【注：如提供承诺函的投标人若中标，但中标后未按承诺函履行承诺，则视为虚假承诺，采购人将单方取消投标人中标资格，给采购人造成损失的，则还要承担相应的赔偿责任。】</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招标文件没有规定的评标标准不得作为评审的依据。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运营服务期限：自合同签订之日起至2026年7月31日。</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服务网点基本情况：</w:t>
      </w:r>
    </w:p>
    <w:p>
      <w:pPr>
        <w:pStyle w:val="null3"/>
        <w:ind w:firstLine="480"/>
        <w:jc w:val="both"/>
      </w:pPr>
      <w:r>
        <w:rPr>
          <w:rFonts w:ascii="仿宋_GB2312" w:hAnsi="仿宋_GB2312" w:cs="仿宋_GB2312" w:eastAsia="仿宋_GB2312"/>
          <w:sz w:val="24"/>
        </w:rPr>
        <w:t>各服务网点情况（具体服务老人数量以实际情况为准，本表数量为2025年3月19日截止的摸底数量，若实际运营过程有增加数量，中标人需无条件满足并自行核算成本，采购人不再增加预算。）</w:t>
      </w:r>
    </w:p>
    <w:tbl>
      <w:tblPr>
        <w:tblW w:w="0" w:type="auto"/>
        <w:tblBorders>
          <w:top w:val="none" w:color="000000" w:sz="4"/>
          <w:left w:val="none" w:color="000000" w:sz="4"/>
          <w:bottom w:val="none" w:color="000000" w:sz="4"/>
          <w:right w:val="none" w:color="000000" w:sz="4"/>
          <w:insideH w:val="none"/>
          <w:insideV w:val="none"/>
        </w:tblBorders>
      </w:tblPr>
      <w:tblGrid>
        <w:gridCol w:w="484"/>
        <w:gridCol w:w="1550"/>
        <w:gridCol w:w="1093"/>
        <w:gridCol w:w="1079"/>
        <w:gridCol w:w="1010"/>
        <w:gridCol w:w="1148"/>
        <w:gridCol w:w="1924"/>
      </w:tblGrid>
      <w:tr>
        <w:tc>
          <w:tcPr>
            <w:tcW w:type="dxa" w:w="484"/>
            <w:tcBorders>
              <w:top w:val="double" w:color="000000" w:sz="8"/>
              <w:left w:val="double" w:color="000000" w:sz="8"/>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序号</w:t>
            </w:r>
          </w:p>
        </w:tc>
        <w:tc>
          <w:tcPr>
            <w:tcW w:type="dxa" w:w="1550"/>
            <w:tcBorders>
              <w:top w:val="doub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项目点名称</w:t>
            </w:r>
          </w:p>
        </w:tc>
        <w:tc>
          <w:tcPr>
            <w:tcW w:type="dxa" w:w="1093"/>
            <w:tcBorders>
              <w:top w:val="doub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最高限价：</w:t>
            </w:r>
          </w:p>
          <w:p>
            <w:pPr>
              <w:pStyle w:val="null3"/>
              <w:ind w:firstLine="480"/>
              <w:jc w:val="center"/>
            </w:pPr>
            <w:r>
              <w:rPr>
                <w:rFonts w:ascii="仿宋_GB2312" w:hAnsi="仿宋_GB2312" w:cs="仿宋_GB2312" w:eastAsia="仿宋_GB2312"/>
                <w:sz w:val="24"/>
              </w:rPr>
              <w:t>（元/月）</w:t>
            </w:r>
          </w:p>
        </w:tc>
        <w:tc>
          <w:tcPr>
            <w:tcW w:type="dxa" w:w="1079"/>
            <w:tcBorders>
              <w:top w:val="doub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60</w:t>
            </w:r>
            <w:r>
              <w:rPr>
                <w:rFonts w:ascii="仿宋_GB2312" w:hAnsi="仿宋_GB2312" w:cs="仿宋_GB2312" w:eastAsia="仿宋_GB2312"/>
                <w:sz w:val="24"/>
              </w:rPr>
              <w:t>周岁及以上户籍老人 （人）</w:t>
            </w:r>
          </w:p>
        </w:tc>
        <w:tc>
          <w:tcPr>
            <w:tcW w:type="dxa" w:w="1010"/>
            <w:tcBorders>
              <w:top w:val="doub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特殊老人类别A（人）</w:t>
            </w:r>
          </w:p>
        </w:tc>
        <w:tc>
          <w:tcPr>
            <w:tcW w:type="dxa" w:w="1148"/>
            <w:tcBorders>
              <w:top w:val="doub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特殊老人类别B（人）</w:t>
            </w:r>
          </w:p>
        </w:tc>
        <w:tc>
          <w:tcPr>
            <w:tcW w:type="dxa" w:w="1924"/>
            <w:tcBorders>
              <w:top w:val="double" w:color="000000" w:sz="8"/>
              <w:left w:val="none" w:color="000000" w:sz="4"/>
              <w:bottom w:val="single" w:color="000000" w:sz="4"/>
              <w:right w:val="double" w:color="000000" w:sz="8"/>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分配说明</w:t>
            </w:r>
          </w:p>
        </w:tc>
      </w:tr>
      <w:tr>
        <w:tc>
          <w:tcPr>
            <w:tcW w:type="dxa" w:w="48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宁宝社区居家养老服务站</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16666</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1157</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38</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21</w:t>
            </w:r>
          </w:p>
        </w:tc>
        <w:tc>
          <w:tcPr>
            <w:tcW w:type="dxa" w:w="1924"/>
            <w:vMerge w:val="restart"/>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本项目涉及居家养老服务站11个；本项目需服务60周岁及以上户籍老人12003人。其中属于特殊老人类别A共317人，特殊老人类别B共213人。</w:t>
            </w:r>
          </w:p>
        </w:tc>
      </w:tr>
      <w:tr>
        <w:tc>
          <w:tcPr>
            <w:tcW w:type="dxa" w:w="48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2</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纺织社区居家养老服务站</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16666</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1475</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75</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109</w:t>
            </w:r>
          </w:p>
        </w:tc>
        <w:tc>
          <w:tcPr>
            <w:tcW w:type="dxa" w:w="1924"/>
            <w:vMerge/>
            <w:tcBorders>
              <w:top w:val="none" w:color="000000" w:sz="4"/>
              <w:left w:val="none" w:color="000000" w:sz="4"/>
              <w:bottom w:val="single" w:color="000000" w:sz="4"/>
              <w:right w:val="double" w:color="000000" w:sz="8"/>
            </w:tcBorders>
          </w:tcPr>
          <w:p/>
        </w:tc>
      </w:tr>
      <w:tr>
        <w:tc>
          <w:tcPr>
            <w:tcW w:type="dxa" w:w="48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3</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杏北社区居家养老服务站</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16666</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499</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8</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0</w:t>
            </w:r>
          </w:p>
        </w:tc>
        <w:tc>
          <w:tcPr>
            <w:tcW w:type="dxa" w:w="1924"/>
            <w:vMerge/>
            <w:tcBorders>
              <w:top w:val="none" w:color="000000" w:sz="4"/>
              <w:left w:val="none" w:color="000000" w:sz="4"/>
              <w:bottom w:val="single" w:color="000000" w:sz="4"/>
              <w:right w:val="double" w:color="000000" w:sz="8"/>
            </w:tcBorders>
          </w:tcPr>
          <w:p/>
        </w:tc>
      </w:tr>
      <w:tr>
        <w:tc>
          <w:tcPr>
            <w:tcW w:type="dxa" w:w="48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4</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曾营社区居家养老服务站</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16666</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1485</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41</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6</w:t>
            </w:r>
          </w:p>
        </w:tc>
        <w:tc>
          <w:tcPr>
            <w:tcW w:type="dxa" w:w="1924"/>
            <w:vMerge/>
            <w:tcBorders>
              <w:top w:val="none" w:color="000000" w:sz="4"/>
              <w:left w:val="none" w:color="000000" w:sz="4"/>
              <w:bottom w:val="single" w:color="000000" w:sz="4"/>
              <w:right w:val="double" w:color="000000" w:sz="8"/>
            </w:tcBorders>
          </w:tcPr>
          <w:p/>
        </w:tc>
      </w:tr>
      <w:tr>
        <w:tc>
          <w:tcPr>
            <w:tcW w:type="dxa" w:w="48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5</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高浦社区居家养老服务站</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16666</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1362</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39</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w:t>
            </w:r>
          </w:p>
        </w:tc>
        <w:tc>
          <w:tcPr>
            <w:tcW w:type="dxa" w:w="1924"/>
            <w:vMerge/>
            <w:tcBorders>
              <w:top w:val="none" w:color="000000" w:sz="4"/>
              <w:left w:val="none" w:color="000000" w:sz="4"/>
              <w:bottom w:val="single" w:color="000000" w:sz="4"/>
              <w:right w:val="double" w:color="000000" w:sz="8"/>
            </w:tcBorders>
          </w:tcPr>
          <w:p/>
        </w:tc>
      </w:tr>
      <w:tr>
        <w:tc>
          <w:tcPr>
            <w:tcW w:type="dxa" w:w="48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6</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内林社区居家养老服务站</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16666</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963</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27</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5</w:t>
            </w:r>
          </w:p>
        </w:tc>
        <w:tc>
          <w:tcPr>
            <w:tcW w:type="dxa" w:w="1924"/>
            <w:vMerge/>
            <w:tcBorders>
              <w:top w:val="none" w:color="000000" w:sz="4"/>
              <w:left w:val="none" w:color="000000" w:sz="4"/>
              <w:bottom w:val="single" w:color="000000" w:sz="4"/>
              <w:right w:val="double" w:color="000000" w:sz="8"/>
            </w:tcBorders>
          </w:tcPr>
          <w:p/>
        </w:tc>
      </w:tr>
      <w:tr>
        <w:tc>
          <w:tcPr>
            <w:tcW w:type="dxa" w:w="48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7</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杏林社区居家养老服务站</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16666</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1199</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48</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3</w:t>
            </w:r>
          </w:p>
        </w:tc>
        <w:tc>
          <w:tcPr>
            <w:tcW w:type="dxa" w:w="1924"/>
            <w:vMerge/>
            <w:tcBorders>
              <w:top w:val="none" w:color="000000" w:sz="4"/>
              <w:left w:val="none" w:color="000000" w:sz="4"/>
              <w:bottom w:val="single" w:color="000000" w:sz="4"/>
              <w:right w:val="double" w:color="000000" w:sz="8"/>
            </w:tcBorders>
          </w:tcPr>
          <w:p/>
        </w:tc>
      </w:tr>
      <w:tr>
        <w:tc>
          <w:tcPr>
            <w:tcW w:type="dxa" w:w="48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8</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西亭社区居家养老服务站</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16666</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1064</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31</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3</w:t>
            </w:r>
          </w:p>
        </w:tc>
        <w:tc>
          <w:tcPr>
            <w:tcW w:type="dxa" w:w="1924"/>
            <w:vMerge/>
            <w:tcBorders>
              <w:top w:val="none" w:color="000000" w:sz="4"/>
              <w:left w:val="none" w:color="000000" w:sz="4"/>
              <w:bottom w:val="single" w:color="000000" w:sz="4"/>
              <w:right w:val="double" w:color="000000" w:sz="8"/>
            </w:tcBorders>
          </w:tcPr>
          <w:p/>
        </w:tc>
      </w:tr>
      <w:tr>
        <w:tc>
          <w:tcPr>
            <w:tcW w:type="dxa" w:w="48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9</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宁海社区居家养老服务站</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16666</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1215</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3</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7</w:t>
            </w:r>
          </w:p>
        </w:tc>
        <w:tc>
          <w:tcPr>
            <w:tcW w:type="dxa" w:w="1924"/>
            <w:vMerge/>
            <w:tcBorders>
              <w:top w:val="none" w:color="000000" w:sz="4"/>
              <w:left w:val="none" w:color="000000" w:sz="4"/>
              <w:bottom w:val="single" w:color="000000" w:sz="4"/>
              <w:right w:val="double" w:color="000000" w:sz="8"/>
            </w:tcBorders>
          </w:tcPr>
          <w:p/>
        </w:tc>
      </w:tr>
      <w:tr>
        <w:tc>
          <w:tcPr>
            <w:tcW w:type="dxa" w:w="48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10</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园博社区居家养老服务站</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16666</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510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4</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0</w:t>
            </w:r>
          </w:p>
        </w:tc>
        <w:tc>
          <w:tcPr>
            <w:tcW w:type="dxa" w:w="1924"/>
            <w:vMerge/>
            <w:tcBorders>
              <w:top w:val="none" w:color="000000" w:sz="4"/>
              <w:left w:val="none" w:color="000000" w:sz="4"/>
              <w:bottom w:val="single" w:color="000000" w:sz="4"/>
              <w:right w:val="double" w:color="000000" w:sz="8"/>
            </w:tcBorders>
          </w:tcPr>
          <w:p/>
        </w:tc>
      </w:tr>
      <w:tr>
        <w:tc>
          <w:tcPr>
            <w:tcW w:type="dxa" w:w="48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11</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莲亭社区居家养老服务站</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16666</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1074</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3</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58</w:t>
            </w:r>
          </w:p>
        </w:tc>
        <w:tc>
          <w:tcPr>
            <w:tcW w:type="dxa" w:w="1924"/>
            <w:vMerge/>
            <w:tcBorders>
              <w:top w:val="none" w:color="000000" w:sz="4"/>
              <w:left w:val="none" w:color="000000" w:sz="4"/>
              <w:bottom w:val="single" w:color="000000" w:sz="4"/>
              <w:right w:val="double" w:color="000000" w:sz="8"/>
            </w:tcBorders>
          </w:tcPr>
          <w:p/>
        </w:tc>
      </w:tr>
      <w:tr>
        <w:tc>
          <w:tcPr>
            <w:tcW w:type="dxa" w:w="2034"/>
            <w:gridSpan w:val="2"/>
            <w:tcBorders>
              <w:top w:val="none" w:color="000000" w:sz="4"/>
              <w:left w:val="double" w:color="000000" w:sz="8"/>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总计（元）</w:t>
            </w:r>
          </w:p>
        </w:tc>
        <w:tc>
          <w:tcPr>
            <w:tcW w:type="dxa" w:w="6254"/>
            <w:gridSpan w:val="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2566564</w:t>
            </w:r>
          </w:p>
        </w:tc>
      </w:tr>
      <w:tr>
        <w:tc>
          <w:tcPr>
            <w:tcW w:type="dxa" w:w="8288"/>
            <w:gridSpan w:val="7"/>
            <w:tcBorders>
              <w:top w:val="none" w:color="000000" w:sz="4"/>
              <w:left w:val="double" w:color="000000" w:sz="8"/>
              <w:bottom w:val="double" w:color="000000" w:sz="8"/>
              <w:right w:val="doub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备注：</w:t>
            </w:r>
          </w:p>
          <w:p>
            <w:pPr>
              <w:pStyle w:val="null3"/>
              <w:ind w:firstLine="480"/>
              <w:jc w:val="both"/>
            </w:pPr>
            <w:r>
              <w:rPr>
                <w:rFonts w:ascii="仿宋_GB2312" w:hAnsi="仿宋_GB2312" w:cs="仿宋_GB2312" w:eastAsia="仿宋_GB2312"/>
                <w:sz w:val="24"/>
              </w:rPr>
              <w:t>备注：A类特殊老人:低保、特困、重点优抚、革命五老、计生特殊家庭、90岁高龄；B类特殊老人：低收入家庭、空巢、孤寡、独居、留守。</w:t>
            </w:r>
          </w:p>
        </w:tc>
      </w:tr>
    </w:tbl>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杏林街道村（居）级养老服务设施运营服务要求</w:t>
      </w:r>
    </w:p>
    <w:p>
      <w:pPr>
        <w:pStyle w:val="null3"/>
        <w:ind w:firstLine="420"/>
      </w:pPr>
      <w:r>
        <w:rPr>
          <w:rFonts w:ascii="仿宋_GB2312" w:hAnsi="仿宋_GB2312" w:cs="仿宋_GB2312" w:eastAsia="仿宋_GB2312"/>
          <w:sz w:val="24"/>
        </w:rPr>
        <w:t>1.1</w:t>
      </w:r>
      <w:r>
        <w:rPr>
          <w:rFonts w:ascii="仿宋_GB2312" w:hAnsi="仿宋_GB2312" w:cs="仿宋_GB2312" w:eastAsia="仿宋_GB2312"/>
          <w:sz w:val="24"/>
        </w:rPr>
        <w:t>服务对象</w:t>
      </w:r>
    </w:p>
    <w:p>
      <w:pPr>
        <w:pStyle w:val="null3"/>
        <w:spacing w:before="90" w:after="90"/>
        <w:ind w:firstLine="402"/>
      </w:pPr>
      <w:r>
        <w:rPr>
          <w:rFonts w:ascii="仿宋_GB2312" w:hAnsi="仿宋_GB2312" w:cs="仿宋_GB2312" w:eastAsia="仿宋_GB2312"/>
          <w:sz w:val="24"/>
        </w:rPr>
        <w:t>为项目所在村（居）的集美区户籍且年满60周岁的老人提供“六助”、助餐、巡访关爱、场馆活动、建立档案、文娱活动、精神慰藉、应急助援、社区参与、老年教育、医疗保障，心理咨询等服务，重点为A类（特困、低保、优抚、革命五老计生特殊家庭、90岁高龄）、B类（低收入家庭、空巢、孤寡、独居、留守等特定对象老人）和C类特殊老人（失能半失能等有困难需要帮助的老人）提供“六助”服务。持居住证且年满60周岁以上的台胞，可参照集美区户籍人员类型享受同等待遇。</w:t>
      </w:r>
    </w:p>
    <w:p>
      <w:pPr>
        <w:pStyle w:val="null3"/>
        <w:ind w:firstLine="420"/>
      </w:pPr>
      <w:r>
        <w:rPr>
          <w:rFonts w:ascii="仿宋_GB2312" w:hAnsi="仿宋_GB2312" w:cs="仿宋_GB2312" w:eastAsia="仿宋_GB2312"/>
          <w:sz w:val="24"/>
        </w:rPr>
        <w:t>1.2</w:t>
      </w:r>
      <w:r>
        <w:rPr>
          <w:rFonts w:ascii="仿宋_GB2312" w:hAnsi="仿宋_GB2312" w:cs="仿宋_GB2312" w:eastAsia="仿宋_GB2312"/>
          <w:sz w:val="24"/>
        </w:rPr>
        <w:t>服务内容及标准</w:t>
      </w:r>
    </w:p>
    <w:p>
      <w:pPr>
        <w:pStyle w:val="null3"/>
        <w:ind w:firstLine="420"/>
      </w:pPr>
      <w:r>
        <w:rPr>
          <w:rFonts w:ascii="仿宋_GB2312" w:hAnsi="仿宋_GB2312" w:cs="仿宋_GB2312" w:eastAsia="仿宋_GB2312"/>
          <w:sz w:val="24"/>
        </w:rPr>
        <w:t>1.2.1</w:t>
      </w:r>
      <w:r>
        <w:rPr>
          <w:rFonts w:ascii="仿宋_GB2312" w:hAnsi="仿宋_GB2312" w:cs="仿宋_GB2312" w:eastAsia="仿宋_GB2312"/>
          <w:sz w:val="24"/>
        </w:rPr>
        <w:t>场所管理（有场所的养老服务设施）</w:t>
      </w:r>
    </w:p>
    <w:p>
      <w:pPr>
        <w:pStyle w:val="null3"/>
        <w:ind w:firstLine="420"/>
      </w:pPr>
      <w:r>
        <w:rPr>
          <w:rFonts w:ascii="仿宋_GB2312" w:hAnsi="仿宋_GB2312" w:cs="仿宋_GB2312" w:eastAsia="仿宋_GB2312"/>
          <w:sz w:val="24"/>
        </w:rPr>
        <w:t>主要工作涵盖制度建设、设备维护、安全管理、卫生管理、登记管理及开放时间安排。承接机构需编制并公示日常活动计划，并确保各项制度上墙；定期检查设备安全并记录维护情况；购买场地险，严格做好安全管理及记录；每日清洁，保持环境整洁无异味，定期消毒；做好人员及活动登记；开放时间固定公示，原则上按法定工作日开放，每日不少于8小时，周末活动灵活调整。</w:t>
      </w:r>
    </w:p>
    <w:p>
      <w:pPr>
        <w:pStyle w:val="null3"/>
        <w:ind w:firstLine="420"/>
      </w:pPr>
      <w:r>
        <w:rPr>
          <w:rFonts w:ascii="仿宋_GB2312" w:hAnsi="仿宋_GB2312" w:cs="仿宋_GB2312" w:eastAsia="仿宋_GB2312"/>
          <w:sz w:val="24"/>
        </w:rPr>
        <w:t>服务标准：</w:t>
      </w:r>
    </w:p>
    <w:p>
      <w:pPr>
        <w:pStyle w:val="null3"/>
        <w:ind w:firstLine="420"/>
      </w:pPr>
      <w:r>
        <w:rPr>
          <w:rFonts w:ascii="仿宋_GB2312" w:hAnsi="仿宋_GB2312" w:cs="仿宋_GB2312" w:eastAsia="仿宋_GB2312"/>
          <w:sz w:val="24"/>
        </w:rPr>
        <w:t>（1）做好养老服务场所的日常清洁卫生。</w:t>
      </w:r>
    </w:p>
    <w:p>
      <w:pPr>
        <w:pStyle w:val="null3"/>
        <w:ind w:firstLine="420"/>
      </w:pPr>
      <w:r>
        <w:rPr>
          <w:rFonts w:ascii="仿宋_GB2312" w:hAnsi="仿宋_GB2312" w:cs="仿宋_GB2312" w:eastAsia="仿宋_GB2312"/>
          <w:sz w:val="24"/>
        </w:rPr>
        <w:t>（2）内部设施、设施设备的维护和管理；每日做好安全情况记录，对出现的问题和解决的结果要记录在案。</w:t>
      </w:r>
    </w:p>
    <w:p>
      <w:pPr>
        <w:pStyle w:val="null3"/>
        <w:ind w:firstLine="420"/>
      </w:pPr>
      <w:r>
        <w:rPr>
          <w:rFonts w:ascii="仿宋_GB2312" w:hAnsi="仿宋_GB2312" w:cs="仿宋_GB2312" w:eastAsia="仿宋_GB2312"/>
          <w:sz w:val="24"/>
        </w:rPr>
        <w:t>（3）认真做好安全保卫工作。</w:t>
      </w:r>
    </w:p>
    <w:p>
      <w:pPr>
        <w:pStyle w:val="null3"/>
        <w:ind w:firstLine="420"/>
      </w:pPr>
      <w:r>
        <w:rPr>
          <w:rFonts w:ascii="仿宋_GB2312" w:hAnsi="仿宋_GB2312" w:cs="仿宋_GB2312" w:eastAsia="仿宋_GB2312"/>
          <w:sz w:val="24"/>
        </w:rPr>
        <w:t>（4）在服务期间应确保老年人及场所运行安全，并购买场地险。若有事故发生，中标人承担相应责任。配合和协助当地公安机关进行安全监控和巡视等保安工作。</w:t>
      </w:r>
    </w:p>
    <w:p>
      <w:pPr>
        <w:pStyle w:val="null3"/>
        <w:ind w:firstLine="420"/>
      </w:pPr>
      <w:r>
        <w:rPr>
          <w:rFonts w:ascii="仿宋_GB2312" w:hAnsi="仿宋_GB2312" w:cs="仿宋_GB2312" w:eastAsia="仿宋_GB2312"/>
          <w:sz w:val="24"/>
        </w:rPr>
        <w:t>（5）建立消防、疫情防控、安全生产、设施设备管护等制度。</w:t>
      </w:r>
    </w:p>
    <w:p>
      <w:pPr>
        <w:pStyle w:val="null3"/>
        <w:ind w:firstLine="420"/>
      </w:pPr>
      <w:r>
        <w:rPr>
          <w:rFonts w:ascii="仿宋_GB2312" w:hAnsi="仿宋_GB2312" w:cs="仿宋_GB2312" w:eastAsia="仿宋_GB2312"/>
          <w:sz w:val="24"/>
        </w:rPr>
        <w:t>（6）每日做好开放场馆服务登记。</w:t>
      </w:r>
    </w:p>
    <w:p>
      <w:pPr>
        <w:pStyle w:val="null3"/>
        <w:ind w:firstLine="420"/>
      </w:pPr>
      <w:r>
        <w:rPr>
          <w:rFonts w:ascii="仿宋_GB2312" w:hAnsi="仿宋_GB2312" w:cs="仿宋_GB2312" w:eastAsia="仿宋_GB2312"/>
          <w:sz w:val="24"/>
        </w:rPr>
        <w:t>1.2.2</w:t>
      </w:r>
      <w:r>
        <w:rPr>
          <w:rFonts w:ascii="仿宋_GB2312" w:hAnsi="仿宋_GB2312" w:cs="仿宋_GB2312" w:eastAsia="仿宋_GB2312"/>
          <w:sz w:val="24"/>
        </w:rPr>
        <w:t>建立档案</w:t>
      </w:r>
    </w:p>
    <w:p>
      <w:pPr>
        <w:pStyle w:val="null3"/>
        <w:ind w:firstLine="420"/>
      </w:pPr>
      <w:r>
        <w:rPr>
          <w:rFonts w:ascii="仿宋_GB2312" w:hAnsi="仿宋_GB2312" w:cs="仿宋_GB2312" w:eastAsia="仿宋_GB2312"/>
          <w:sz w:val="24"/>
        </w:rPr>
        <w:t>助老员入驻村（居）后，三个月内完成98%以上服务对象信息建档，同步更新市、区的养老服务平台，内容涵盖老人基本信息、健康、家庭、居住、服务需求等，并按月更新。确保集美区户籍老人信息完整度与准确率均达95%以上，档案保留三年，若承接机构发生变更时，应将电子和纸质材料完整移交村（居）。对老人个人隐私要做好保密工作，不得利用老人信息从事其他活动。助老员要定期反馈服务需求信息台账至村（居），与村（居）沟通了解老人的需求，及时调整服务。</w:t>
      </w:r>
    </w:p>
    <w:p>
      <w:pPr>
        <w:pStyle w:val="null3"/>
        <w:ind w:firstLine="420"/>
      </w:pPr>
      <w:r>
        <w:rPr>
          <w:rFonts w:ascii="仿宋_GB2312" w:hAnsi="仿宋_GB2312" w:cs="仿宋_GB2312" w:eastAsia="仿宋_GB2312"/>
          <w:sz w:val="24"/>
        </w:rPr>
        <w:t>服务标准：</w:t>
      </w:r>
    </w:p>
    <w:p>
      <w:pPr>
        <w:pStyle w:val="null3"/>
        <w:ind w:firstLine="420"/>
      </w:pPr>
      <w:r>
        <w:rPr>
          <w:rFonts w:ascii="仿宋_GB2312" w:hAnsi="仿宋_GB2312" w:cs="仿宋_GB2312" w:eastAsia="仿宋_GB2312"/>
          <w:sz w:val="24"/>
        </w:rPr>
        <w:t>（1）老年人档案主要包括村（居）基础数据、个人基础信息、家庭信息、居住情况、健康状况、服务需求等。</w:t>
      </w:r>
    </w:p>
    <w:p>
      <w:pPr>
        <w:pStyle w:val="null3"/>
        <w:ind w:firstLine="420"/>
      </w:pPr>
      <w:r>
        <w:rPr>
          <w:rFonts w:ascii="仿宋_GB2312" w:hAnsi="仿宋_GB2312" w:cs="仿宋_GB2312" w:eastAsia="仿宋_GB2312"/>
          <w:sz w:val="24"/>
        </w:rPr>
        <w:t>（2）确保老年人各方面信息真实有效。</w:t>
      </w:r>
    </w:p>
    <w:p>
      <w:pPr>
        <w:pStyle w:val="null3"/>
        <w:ind w:firstLine="420"/>
      </w:pPr>
      <w:r>
        <w:rPr>
          <w:rFonts w:ascii="仿宋_GB2312" w:hAnsi="仿宋_GB2312" w:cs="仿宋_GB2312" w:eastAsia="仿宋_GB2312"/>
          <w:sz w:val="24"/>
        </w:rPr>
        <w:t>（3）老年人信息登记表应至少保留三年。如老年人基本信息发生变化，应如实登记。</w:t>
      </w:r>
    </w:p>
    <w:p>
      <w:pPr>
        <w:pStyle w:val="null3"/>
        <w:ind w:firstLine="420"/>
      </w:pPr>
      <w:r>
        <w:rPr>
          <w:rFonts w:ascii="仿宋_GB2312" w:hAnsi="仿宋_GB2312" w:cs="仿宋_GB2312" w:eastAsia="仿宋_GB2312"/>
          <w:sz w:val="24"/>
        </w:rPr>
        <w:t>（4）保护老年人隐私，对老年人相关信息严格保密，不得泄露、出售或者非法向他人提供，当服务中有可能暴露老年人隐私时，应有遮挡并提供安全有效的防护措施。</w:t>
      </w:r>
    </w:p>
    <w:p>
      <w:pPr>
        <w:pStyle w:val="null3"/>
        <w:ind w:firstLine="420"/>
      </w:pPr>
      <w:r>
        <w:rPr>
          <w:rFonts w:ascii="仿宋_GB2312" w:hAnsi="仿宋_GB2312" w:cs="仿宋_GB2312" w:eastAsia="仿宋_GB2312"/>
          <w:sz w:val="24"/>
        </w:rPr>
        <w:t>（5）定时、定向更新老年人档案信息。</w:t>
      </w:r>
    </w:p>
    <w:p>
      <w:pPr>
        <w:pStyle w:val="null3"/>
        <w:ind w:firstLine="420"/>
      </w:pPr>
      <w:r>
        <w:rPr>
          <w:rFonts w:ascii="仿宋_GB2312" w:hAnsi="仿宋_GB2312" w:cs="仿宋_GB2312" w:eastAsia="仿宋_GB2312"/>
          <w:sz w:val="24"/>
        </w:rPr>
        <w:t>（6）每季度首月内收集老年人需求，并由村（居）确认。</w:t>
      </w:r>
    </w:p>
    <w:p>
      <w:pPr>
        <w:pStyle w:val="null3"/>
        <w:ind w:firstLine="420"/>
      </w:pPr>
      <w:r>
        <w:rPr>
          <w:rFonts w:ascii="仿宋_GB2312" w:hAnsi="仿宋_GB2312" w:cs="仿宋_GB2312" w:eastAsia="仿宋_GB2312"/>
          <w:sz w:val="24"/>
        </w:rPr>
        <w:t>1.2.3</w:t>
      </w:r>
      <w:r>
        <w:rPr>
          <w:rFonts w:ascii="仿宋_GB2312" w:hAnsi="仿宋_GB2312" w:cs="仿宋_GB2312" w:eastAsia="仿宋_GB2312"/>
          <w:sz w:val="24"/>
        </w:rPr>
        <w:t>告示服务</w:t>
      </w:r>
    </w:p>
    <w:p>
      <w:pPr>
        <w:pStyle w:val="null3"/>
        <w:ind w:firstLine="420"/>
      </w:pPr>
      <w:r>
        <w:rPr>
          <w:rFonts w:ascii="仿宋_GB2312" w:hAnsi="仿宋_GB2312" w:cs="仿宋_GB2312" w:eastAsia="仿宋_GB2312"/>
          <w:sz w:val="24"/>
        </w:rPr>
        <w:t>主要工作为汇集村（居）及周边养老资源、优待政策、服务平台：活动信息、养老服务热线及助老员联系方式，通过公告和助老手册告知老年人，确保信息更新及时有效，全年老年人或其监护人的知晓率超80%，以保障其充分了解和利用养老服务资源。</w:t>
      </w:r>
    </w:p>
    <w:p>
      <w:pPr>
        <w:pStyle w:val="null3"/>
        <w:ind w:firstLine="420"/>
      </w:pPr>
      <w:r>
        <w:rPr>
          <w:rFonts w:ascii="仿宋_GB2312" w:hAnsi="仿宋_GB2312" w:cs="仿宋_GB2312" w:eastAsia="仿宋_GB2312"/>
          <w:sz w:val="24"/>
        </w:rPr>
        <w:t>服务标准：</w:t>
      </w:r>
    </w:p>
    <w:p>
      <w:pPr>
        <w:pStyle w:val="null3"/>
        <w:ind w:firstLine="420"/>
      </w:pPr>
      <w:r>
        <w:rPr>
          <w:rFonts w:ascii="仿宋_GB2312" w:hAnsi="仿宋_GB2312" w:cs="仿宋_GB2312" w:eastAsia="仿宋_GB2312"/>
          <w:sz w:val="24"/>
        </w:rPr>
        <w:t>（1）告示内容发生变动后应及时更新并告知，保证内容的及时性和有效性。</w:t>
      </w:r>
    </w:p>
    <w:p>
      <w:pPr>
        <w:pStyle w:val="null3"/>
        <w:ind w:firstLine="420"/>
      </w:pPr>
      <w:r>
        <w:rPr>
          <w:rFonts w:ascii="仿宋_GB2312" w:hAnsi="仿宋_GB2312" w:cs="仿宋_GB2312" w:eastAsia="仿宋_GB2312"/>
          <w:sz w:val="24"/>
        </w:rPr>
        <w:t>（2）村（居）老年人或其监护人对告示内容的知晓率应达到80%以上。</w:t>
      </w:r>
    </w:p>
    <w:p>
      <w:pPr>
        <w:pStyle w:val="null3"/>
        <w:ind w:firstLine="420"/>
      </w:pPr>
      <w:r>
        <w:rPr>
          <w:rFonts w:ascii="仿宋_GB2312" w:hAnsi="仿宋_GB2312" w:cs="仿宋_GB2312" w:eastAsia="仿宋_GB2312"/>
          <w:sz w:val="24"/>
        </w:rPr>
        <w:t>1.2.4</w:t>
      </w:r>
      <w:r>
        <w:rPr>
          <w:rFonts w:ascii="仿宋_GB2312" w:hAnsi="仿宋_GB2312" w:cs="仿宋_GB2312" w:eastAsia="仿宋_GB2312"/>
          <w:sz w:val="24"/>
        </w:rPr>
        <w:t>巡访关爱</w:t>
      </w:r>
    </w:p>
    <w:p>
      <w:pPr>
        <w:pStyle w:val="null3"/>
        <w:ind w:firstLine="420"/>
      </w:pPr>
      <w:r>
        <w:rPr>
          <w:rFonts w:ascii="仿宋_GB2312" w:hAnsi="仿宋_GB2312" w:cs="仿宋_GB2312" w:eastAsia="仿宋_GB2312"/>
          <w:sz w:val="24"/>
        </w:rPr>
        <w:t>参照《社区老年人巡访关爱服务规范》标准，每季度对村（居）内50%的集美区户籍老年人进行一次巡访关爱，半年内完成老人巡访全覆盖。承接机构需利用信息化手段记录巡访关爱过程，特别关注慢性病老人血压监测；根据《厦门市集美区民政局等九部门关于印发集美区特殊困难老年人探访关爱服务实施方案的通知》（厦集民〔2023〕39号）要求，为特殊老人开展巡访关爱服务，若政策有调整的应适当调整频次，极端天气或节日时增加巡访次数。</w:t>
      </w:r>
    </w:p>
    <w:p>
      <w:pPr>
        <w:pStyle w:val="null3"/>
        <w:ind w:firstLine="420"/>
      </w:pPr>
      <w:r>
        <w:rPr>
          <w:rFonts w:ascii="仿宋_GB2312" w:hAnsi="仿宋_GB2312" w:cs="仿宋_GB2312" w:eastAsia="仿宋_GB2312"/>
          <w:sz w:val="24"/>
        </w:rPr>
        <w:t>服务标准：</w:t>
      </w:r>
    </w:p>
    <w:p>
      <w:pPr>
        <w:pStyle w:val="null3"/>
        <w:ind w:firstLine="420"/>
      </w:pPr>
      <w:r>
        <w:rPr>
          <w:rFonts w:ascii="仿宋_GB2312" w:hAnsi="仿宋_GB2312" w:cs="仿宋_GB2312" w:eastAsia="仿宋_GB2312"/>
          <w:sz w:val="24"/>
        </w:rPr>
        <w:t>（1）上门拜访老年人时主动倾听，及时解决老年人的临时性需求，建立与老年人之间良好的信任感和满意度，满意度达90%及以上。</w:t>
      </w:r>
    </w:p>
    <w:p>
      <w:pPr>
        <w:pStyle w:val="null3"/>
        <w:ind w:firstLine="420"/>
      </w:pPr>
      <w:r>
        <w:rPr>
          <w:rFonts w:ascii="仿宋_GB2312" w:hAnsi="仿宋_GB2312" w:cs="仿宋_GB2312" w:eastAsia="仿宋_GB2312"/>
          <w:sz w:val="24"/>
        </w:rPr>
        <w:t>（2）维护老年人尊严，尊重老年人个人隐私和生活习惯。</w:t>
      </w:r>
    </w:p>
    <w:p>
      <w:pPr>
        <w:pStyle w:val="null3"/>
        <w:ind w:firstLine="420"/>
      </w:pPr>
      <w:r>
        <w:rPr>
          <w:rFonts w:ascii="仿宋_GB2312" w:hAnsi="仿宋_GB2312" w:cs="仿宋_GB2312" w:eastAsia="仿宋_GB2312"/>
          <w:sz w:val="24"/>
        </w:rPr>
        <w:t>（3）通过手机APP软件记录入户工作。</w:t>
      </w:r>
    </w:p>
    <w:p>
      <w:pPr>
        <w:pStyle w:val="null3"/>
        <w:ind w:firstLine="420"/>
      </w:pPr>
      <w:r>
        <w:rPr>
          <w:rFonts w:ascii="仿宋_GB2312" w:hAnsi="仿宋_GB2312" w:cs="仿宋_GB2312" w:eastAsia="仿宋_GB2312"/>
          <w:sz w:val="24"/>
        </w:rPr>
        <w:t>1.2.5</w:t>
      </w:r>
      <w:r>
        <w:rPr>
          <w:rFonts w:ascii="仿宋_GB2312" w:hAnsi="仿宋_GB2312" w:cs="仿宋_GB2312" w:eastAsia="仿宋_GB2312"/>
          <w:sz w:val="24"/>
        </w:rPr>
        <w:t>上门服务</w:t>
      </w:r>
    </w:p>
    <w:p>
      <w:pPr>
        <w:pStyle w:val="null3"/>
        <w:ind w:firstLine="420"/>
      </w:pPr>
      <w:r>
        <w:rPr>
          <w:rFonts w:ascii="仿宋_GB2312" w:hAnsi="仿宋_GB2312" w:cs="仿宋_GB2312" w:eastAsia="仿宋_GB2312"/>
          <w:sz w:val="24"/>
        </w:rPr>
        <w:t>居家上门服务参照《城市社区居家养老服务规范》标准，涵盖“助洁、助浴、助行、助急、助医、助乐”六大板块，旨在全方位关怀老年人生活。服务频次以辖区户籍老年人数量为依据开展阶梯式考核（</w:t>
      </w:r>
      <w:r>
        <w:rPr>
          <w:rFonts w:ascii="仿宋_GB2312" w:hAnsi="仿宋_GB2312" w:cs="仿宋_GB2312" w:eastAsia="仿宋_GB2312"/>
          <w:sz w:val="24"/>
          <w:b/>
        </w:rPr>
        <w:t>详见下表“居家上门‘六助’服务频次对照情况”</w:t>
      </w:r>
      <w:r>
        <w:rPr>
          <w:rFonts w:ascii="仿宋_GB2312" w:hAnsi="仿宋_GB2312" w:cs="仿宋_GB2312" w:eastAsia="仿宋_GB2312"/>
          <w:sz w:val="24"/>
        </w:rPr>
        <w:t>），重点保障A类特殊老人（特困低保、优抚、革命五老、计生特殊家庭、90岁高龄）和B类特殊老人（低收入家庭、空巢、孤寡、独居、留守）等特殊老年人群。服务对象因各种原因无法开展服务的或服务对象全部完成服务次数仍达不到标准的，未达到标准部分的服务次数以不低于1.1倍的加权方式服务其他C类特殊老人（失能半失能等有困难需要帮助的老人），C类老人由村（居）与各镇（街）推荐，由承接运营机构开展服务。每次服务至少包含两助内容，A类老人每月时长不少于8小时，服务次数不低于4次，每次服务时长至少1小时；B类和C类老人每月服务时长不低于4小时，服务次数不低于2次，每次服务时长至少1小时，确保服务质量与覆盖面。</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仿宋_GB2312" w:hAnsi="仿宋_GB2312" w:cs="仿宋_GB2312" w:eastAsia="仿宋_GB2312"/>
                <w:sz w:val="24"/>
                <w:b/>
              </w:rPr>
              <w:t>居家上门“六助”服务频次对照情况</w:t>
            </w:r>
          </w:p>
          <w:p>
            <w:pPr>
              <w:pStyle w:val="null3"/>
              <w:ind w:firstLine="420"/>
            </w:pPr>
            <w:r>
              <w:rPr>
                <w:rFonts w:ascii="仿宋_GB2312" w:hAnsi="仿宋_GB2312" w:cs="仿宋_GB2312" w:eastAsia="仿宋_GB2312"/>
                <w:sz w:val="24"/>
              </w:rPr>
              <w:t>按照本辖区集美户籍老人数量，服务次数的比例分区间如下：</w:t>
            </w:r>
          </w:p>
          <w:p>
            <w:pPr>
              <w:pStyle w:val="null3"/>
              <w:ind w:firstLine="420"/>
            </w:pPr>
            <w:r>
              <w:rPr>
                <w:rFonts w:ascii="仿宋_GB2312" w:hAnsi="仿宋_GB2312" w:cs="仿宋_GB2312" w:eastAsia="仿宋_GB2312"/>
                <w:sz w:val="24"/>
              </w:rPr>
              <w:t>1.1200</w:t>
            </w:r>
            <w:r>
              <w:rPr>
                <w:rFonts w:ascii="仿宋_GB2312" w:hAnsi="仿宋_GB2312" w:cs="仿宋_GB2312" w:eastAsia="仿宋_GB2312"/>
                <w:sz w:val="24"/>
              </w:rPr>
              <w:t>人及以上的服务按照不低于每季度600人次；</w:t>
            </w:r>
          </w:p>
          <w:p>
            <w:pPr>
              <w:pStyle w:val="null3"/>
              <w:ind w:firstLine="420"/>
            </w:pPr>
            <w:r>
              <w:rPr>
                <w:rFonts w:ascii="仿宋_GB2312" w:hAnsi="仿宋_GB2312" w:cs="仿宋_GB2312" w:eastAsia="仿宋_GB2312"/>
                <w:sz w:val="24"/>
              </w:rPr>
              <w:t>2.1000--1199</w:t>
            </w:r>
            <w:r>
              <w:rPr>
                <w:rFonts w:ascii="仿宋_GB2312" w:hAnsi="仿宋_GB2312" w:cs="仿宋_GB2312" w:eastAsia="仿宋_GB2312"/>
                <w:sz w:val="24"/>
              </w:rPr>
              <w:t>人的占总人数的50%人次；</w:t>
            </w:r>
          </w:p>
          <w:p>
            <w:pPr>
              <w:pStyle w:val="null3"/>
              <w:ind w:firstLine="420"/>
            </w:pPr>
            <w:r>
              <w:rPr>
                <w:rFonts w:ascii="仿宋_GB2312" w:hAnsi="仿宋_GB2312" w:cs="仿宋_GB2312" w:eastAsia="仿宋_GB2312"/>
                <w:sz w:val="24"/>
              </w:rPr>
              <w:t>3.700--999</w:t>
            </w:r>
            <w:r>
              <w:rPr>
                <w:rFonts w:ascii="仿宋_GB2312" w:hAnsi="仿宋_GB2312" w:cs="仿宋_GB2312" w:eastAsia="仿宋_GB2312"/>
                <w:sz w:val="24"/>
              </w:rPr>
              <w:t>人的占总人数的55%人次；</w:t>
            </w:r>
          </w:p>
          <w:p>
            <w:pPr>
              <w:pStyle w:val="null3"/>
              <w:ind w:firstLine="420"/>
            </w:pPr>
            <w:r>
              <w:rPr>
                <w:rFonts w:ascii="仿宋_GB2312" w:hAnsi="仿宋_GB2312" w:cs="仿宋_GB2312" w:eastAsia="仿宋_GB2312"/>
                <w:sz w:val="24"/>
              </w:rPr>
              <w:t>4.500--699</w:t>
            </w:r>
            <w:r>
              <w:rPr>
                <w:rFonts w:ascii="仿宋_GB2312" w:hAnsi="仿宋_GB2312" w:cs="仿宋_GB2312" w:eastAsia="仿宋_GB2312"/>
                <w:sz w:val="24"/>
              </w:rPr>
              <w:t>人的古总人数的60%人次；</w:t>
            </w:r>
          </w:p>
          <w:p>
            <w:pPr>
              <w:pStyle w:val="null3"/>
              <w:ind w:firstLine="420"/>
            </w:pPr>
            <w:r>
              <w:rPr>
                <w:rFonts w:ascii="仿宋_GB2312" w:hAnsi="仿宋_GB2312" w:cs="仿宋_GB2312" w:eastAsia="仿宋_GB2312"/>
                <w:sz w:val="24"/>
              </w:rPr>
              <w:t>5.300--499</w:t>
            </w:r>
            <w:r>
              <w:rPr>
                <w:rFonts w:ascii="仿宋_GB2312" w:hAnsi="仿宋_GB2312" w:cs="仿宋_GB2312" w:eastAsia="仿宋_GB2312"/>
                <w:sz w:val="24"/>
              </w:rPr>
              <w:t>人的占总人数的80%人次；</w:t>
            </w:r>
          </w:p>
          <w:p>
            <w:pPr>
              <w:pStyle w:val="null3"/>
              <w:ind w:firstLine="420"/>
            </w:pPr>
            <w:r>
              <w:rPr>
                <w:rFonts w:ascii="仿宋_GB2312" w:hAnsi="仿宋_GB2312" w:cs="仿宋_GB2312" w:eastAsia="仿宋_GB2312"/>
                <w:sz w:val="24"/>
              </w:rPr>
              <w:t>6.299</w:t>
            </w:r>
            <w:r>
              <w:rPr>
                <w:rFonts w:ascii="仿宋_GB2312" w:hAnsi="仿宋_GB2312" w:cs="仿宋_GB2312" w:eastAsia="仿宋_GB2312"/>
                <w:sz w:val="24"/>
              </w:rPr>
              <w:t>人及以下的占总人数的100%人次。</w:t>
            </w:r>
          </w:p>
        </w:tc>
      </w:tr>
    </w:tbl>
    <w:p>
      <w:pPr>
        <w:pStyle w:val="null3"/>
        <w:ind w:firstLine="420"/>
      </w:pPr>
      <w:r>
        <w:rPr>
          <w:rFonts w:ascii="仿宋_GB2312" w:hAnsi="仿宋_GB2312" w:cs="仿宋_GB2312" w:eastAsia="仿宋_GB2312"/>
          <w:sz w:val="24"/>
        </w:rPr>
        <w:t>服务标准：</w:t>
      </w:r>
    </w:p>
    <w:p>
      <w:pPr>
        <w:pStyle w:val="null3"/>
        <w:ind w:firstLine="420"/>
      </w:pPr>
      <w:r>
        <w:rPr>
          <w:rFonts w:ascii="仿宋_GB2312" w:hAnsi="仿宋_GB2312" w:cs="仿宋_GB2312" w:eastAsia="仿宋_GB2312"/>
          <w:sz w:val="24"/>
        </w:rPr>
        <w:t xml:space="preserve">1.2.5.1 </w:t>
      </w:r>
      <w:r>
        <w:rPr>
          <w:rFonts w:ascii="仿宋_GB2312" w:hAnsi="仿宋_GB2312" w:cs="仿宋_GB2312" w:eastAsia="仿宋_GB2312"/>
          <w:sz w:val="24"/>
        </w:rPr>
        <w:t>助洁：包括整理卧室、卫生间、厨房等家政类保洁</w:t>
      </w:r>
    </w:p>
    <w:p>
      <w:pPr>
        <w:pStyle w:val="null3"/>
        <w:ind w:firstLine="420"/>
      </w:pPr>
      <w:r>
        <w:rPr>
          <w:rFonts w:ascii="仿宋_GB2312" w:hAnsi="仿宋_GB2312" w:cs="仿宋_GB2312" w:eastAsia="仿宋_GB2312"/>
          <w:sz w:val="24"/>
        </w:rPr>
        <w:t>（1）开窗通风，保持卧室、厨房、卫生间等居室内部整洁，物品摆放有序，无乱放、乱挂。</w:t>
      </w:r>
    </w:p>
    <w:p>
      <w:pPr>
        <w:pStyle w:val="null3"/>
        <w:ind w:firstLine="420"/>
      </w:pPr>
      <w:r>
        <w:rPr>
          <w:rFonts w:ascii="仿宋_GB2312" w:hAnsi="仿宋_GB2312" w:cs="仿宋_GB2312" w:eastAsia="仿宋_GB2312"/>
          <w:sz w:val="24"/>
        </w:rPr>
        <w:t>（2）定期翻晒（被褥，枕头，毛毯等）、更换床上用品（床罩，床单，被套，枕套，枕巾），按老年人习惯整理床铺，保持床铺清洁、美观。</w:t>
      </w:r>
    </w:p>
    <w:p>
      <w:pPr>
        <w:pStyle w:val="null3"/>
        <w:ind w:firstLine="420"/>
      </w:pPr>
      <w:r>
        <w:rPr>
          <w:rFonts w:ascii="仿宋_GB2312" w:hAnsi="仿宋_GB2312" w:cs="仿宋_GB2312" w:eastAsia="仿宋_GB2312"/>
          <w:sz w:val="24"/>
        </w:rPr>
        <w:t xml:space="preserve">1.2.5.2 </w:t>
      </w:r>
      <w:r>
        <w:rPr>
          <w:rFonts w:ascii="仿宋_GB2312" w:hAnsi="仿宋_GB2312" w:cs="仿宋_GB2312" w:eastAsia="仿宋_GB2312"/>
          <w:sz w:val="24"/>
        </w:rPr>
        <w:t>助浴：外出/家庭助浴（有条件）</w:t>
      </w:r>
    </w:p>
    <w:p>
      <w:pPr>
        <w:pStyle w:val="null3"/>
        <w:ind w:firstLine="420"/>
      </w:pPr>
      <w:r>
        <w:rPr>
          <w:rFonts w:ascii="仿宋_GB2312" w:hAnsi="仿宋_GB2312" w:cs="仿宋_GB2312" w:eastAsia="仿宋_GB2312"/>
          <w:sz w:val="24"/>
        </w:rPr>
        <w:t>（1）助浴前应进行安全提示。</w:t>
      </w:r>
    </w:p>
    <w:p>
      <w:pPr>
        <w:pStyle w:val="null3"/>
        <w:ind w:firstLine="420"/>
      </w:pPr>
      <w:r>
        <w:rPr>
          <w:rFonts w:ascii="仿宋_GB2312" w:hAnsi="仿宋_GB2312" w:cs="仿宋_GB2312" w:eastAsia="仿宋_GB2312"/>
          <w:sz w:val="24"/>
        </w:rPr>
        <w:t>（2）助浴过程中应有家属或两名以上助老员在场。</w:t>
      </w:r>
    </w:p>
    <w:p>
      <w:pPr>
        <w:pStyle w:val="null3"/>
        <w:ind w:firstLine="420"/>
      </w:pPr>
      <w:r>
        <w:rPr>
          <w:rFonts w:ascii="仿宋_GB2312" w:hAnsi="仿宋_GB2312" w:cs="仿宋_GB2312" w:eastAsia="仿宋_GB2312"/>
          <w:sz w:val="24"/>
        </w:rPr>
        <w:t>（3）上门助浴时应根据四季气候状况和老年人居住条件，注意防寒保暖、防暑降温及浴室内通风。</w:t>
      </w:r>
    </w:p>
    <w:p>
      <w:pPr>
        <w:pStyle w:val="null3"/>
        <w:ind w:firstLine="420"/>
      </w:pPr>
      <w:r>
        <w:rPr>
          <w:rFonts w:ascii="仿宋_GB2312" w:hAnsi="仿宋_GB2312" w:cs="仿宋_GB2312" w:eastAsia="仿宋_GB2312"/>
          <w:sz w:val="24"/>
        </w:rPr>
        <w:t>（4）助浴过程中应注意观察老年人身体情况，如遇老年人身体不适，协助采取相应应急措施。</w:t>
      </w:r>
    </w:p>
    <w:p>
      <w:pPr>
        <w:pStyle w:val="null3"/>
        <w:ind w:firstLine="420"/>
      </w:pPr>
      <w:r>
        <w:rPr>
          <w:rFonts w:ascii="仿宋_GB2312" w:hAnsi="仿宋_GB2312" w:cs="仿宋_GB2312" w:eastAsia="仿宋_GB2312"/>
          <w:sz w:val="24"/>
        </w:rPr>
        <w:t>1.2.5.3</w:t>
      </w:r>
      <w:r>
        <w:rPr>
          <w:rFonts w:ascii="仿宋_GB2312" w:hAnsi="仿宋_GB2312" w:cs="仿宋_GB2312" w:eastAsia="仿宋_GB2312"/>
          <w:sz w:val="24"/>
        </w:rPr>
        <w:t>助行：陪同外出包括散步、购物、就医（有条件）、办事等</w:t>
      </w:r>
    </w:p>
    <w:p>
      <w:pPr>
        <w:pStyle w:val="null3"/>
        <w:ind w:firstLine="420"/>
      </w:pPr>
      <w:r>
        <w:rPr>
          <w:rFonts w:ascii="仿宋_GB2312" w:hAnsi="仿宋_GB2312" w:cs="仿宋_GB2312" w:eastAsia="仿宋_GB2312"/>
          <w:sz w:val="24"/>
        </w:rPr>
        <w:t>（1）陪同外出：①助行服务一般在老年人住宅小区及周边区域内；②助行服务应注意途中安全；③使用助行器具时应按助行器具的使用说明进行操作。</w:t>
      </w:r>
    </w:p>
    <w:p>
      <w:pPr>
        <w:pStyle w:val="null3"/>
        <w:ind w:firstLine="420"/>
      </w:pPr>
      <w:r>
        <w:rPr>
          <w:rFonts w:ascii="仿宋_GB2312" w:hAnsi="仿宋_GB2312" w:cs="仿宋_GB2312" w:eastAsia="仿宋_GB2312"/>
          <w:sz w:val="24"/>
        </w:rPr>
        <w:t>（2）代办服务：①代办各种手续、代缴各种费用等日常生活事务，按照老年人的要求及时办理；②代办服务时应当面清点钱物、证件、单据等并妥善保管好。</w:t>
      </w:r>
    </w:p>
    <w:p>
      <w:pPr>
        <w:pStyle w:val="null3"/>
        <w:ind w:firstLine="420"/>
      </w:pPr>
      <w:r>
        <w:rPr>
          <w:rFonts w:ascii="仿宋_GB2312" w:hAnsi="仿宋_GB2312" w:cs="仿宋_GB2312" w:eastAsia="仿宋_GB2312"/>
          <w:sz w:val="24"/>
        </w:rPr>
        <w:t>（3）代购日常生活用品：按照老年人的要求及时代买，并当面清点钱物、单据等并妥善保管。</w:t>
      </w:r>
    </w:p>
    <w:p>
      <w:pPr>
        <w:pStyle w:val="null3"/>
        <w:ind w:firstLine="420"/>
      </w:pPr>
      <w:r>
        <w:rPr>
          <w:rFonts w:ascii="仿宋_GB2312" w:hAnsi="仿宋_GB2312" w:cs="仿宋_GB2312" w:eastAsia="仿宋_GB2312"/>
          <w:sz w:val="24"/>
        </w:rPr>
        <w:t>1.2.5.4</w:t>
      </w:r>
      <w:r>
        <w:rPr>
          <w:rFonts w:ascii="仿宋_GB2312" w:hAnsi="仿宋_GB2312" w:cs="仿宋_GB2312" w:eastAsia="仿宋_GB2312"/>
          <w:sz w:val="24"/>
        </w:rPr>
        <w:t>助急：如老年人家里遇到漏水、漏电、忘记带家门钥匙等急事，提供相应解急解难服务。</w:t>
      </w:r>
    </w:p>
    <w:p>
      <w:pPr>
        <w:pStyle w:val="null3"/>
        <w:ind w:firstLine="420"/>
      </w:pPr>
      <w:r>
        <w:rPr>
          <w:rFonts w:ascii="仿宋_GB2312" w:hAnsi="仿宋_GB2312" w:cs="仿宋_GB2312" w:eastAsia="仿宋_GB2312"/>
          <w:sz w:val="24"/>
        </w:rPr>
        <w:t>1.2.5.5</w:t>
      </w:r>
      <w:r>
        <w:rPr>
          <w:rFonts w:ascii="仿宋_GB2312" w:hAnsi="仿宋_GB2312" w:cs="仿宋_GB2312" w:eastAsia="仿宋_GB2312"/>
          <w:sz w:val="24"/>
        </w:rPr>
        <w:t>助医：陪同就诊、代购药品、链接正规医疗机构为有需求的老年人提供上门康复。</w:t>
      </w:r>
    </w:p>
    <w:p>
      <w:pPr>
        <w:pStyle w:val="null3"/>
        <w:ind w:firstLine="420"/>
      </w:pPr>
      <w:r>
        <w:rPr>
          <w:rFonts w:ascii="仿宋_GB2312" w:hAnsi="仿宋_GB2312" w:cs="仿宋_GB2312" w:eastAsia="仿宋_GB2312"/>
          <w:sz w:val="24"/>
        </w:rPr>
        <w:t>（1）陪同就诊：陪同老年人到医院取预约号、诊疗、取药、缴费等。</w:t>
      </w:r>
    </w:p>
    <w:p>
      <w:pPr>
        <w:pStyle w:val="null3"/>
        <w:ind w:firstLine="420"/>
      </w:pPr>
      <w:r>
        <w:rPr>
          <w:rFonts w:ascii="仿宋_GB2312" w:hAnsi="仿宋_GB2312" w:cs="仿宋_GB2312" w:eastAsia="仿宋_GB2312"/>
          <w:sz w:val="24"/>
        </w:rPr>
        <w:t>（2）代购药品一般到老年人居住地所在区域范围内的医疗机构，并做到当面清点钱物和药品等。</w:t>
      </w:r>
    </w:p>
    <w:p>
      <w:pPr>
        <w:pStyle w:val="null3"/>
        <w:ind w:firstLine="420"/>
      </w:pPr>
      <w:r>
        <w:rPr>
          <w:rFonts w:ascii="仿宋_GB2312" w:hAnsi="仿宋_GB2312" w:cs="仿宋_GB2312" w:eastAsia="仿宋_GB2312"/>
          <w:sz w:val="24"/>
        </w:rPr>
        <w:t>（3）康复服务指由专业康复治疗（士）师上门为有康复需求的老年人提供功能性康复训练和康复护理。</w:t>
      </w:r>
    </w:p>
    <w:p>
      <w:pPr>
        <w:pStyle w:val="null3"/>
        <w:ind w:firstLine="420"/>
      </w:pPr>
      <w:r>
        <w:rPr>
          <w:rFonts w:ascii="仿宋_GB2312" w:hAnsi="仿宋_GB2312" w:cs="仿宋_GB2312" w:eastAsia="仿宋_GB2312"/>
          <w:sz w:val="24"/>
        </w:rPr>
        <w:t>（4）开展服务时不可进行保健用药品、器材推销推介等与站点所需服务不相关的行为。</w:t>
      </w:r>
    </w:p>
    <w:p>
      <w:pPr>
        <w:pStyle w:val="null3"/>
        <w:ind w:firstLine="420"/>
      </w:pPr>
      <w:r>
        <w:rPr>
          <w:rFonts w:ascii="仿宋_GB2312" w:hAnsi="仿宋_GB2312" w:cs="仿宋_GB2312" w:eastAsia="仿宋_GB2312"/>
          <w:sz w:val="24"/>
        </w:rPr>
        <w:t>1.2.5.6</w:t>
      </w:r>
      <w:r>
        <w:rPr>
          <w:rFonts w:ascii="仿宋_GB2312" w:hAnsi="仿宋_GB2312" w:cs="仿宋_GB2312" w:eastAsia="仿宋_GB2312"/>
          <w:sz w:val="24"/>
        </w:rPr>
        <w:t>助乐：①为老年人入户开展心理疏导、陪聊、协助老年人解决临时需求；②为有需要的老年人提供心理辅导、情绪疏解和认知调节，帮助老年人摆脱抑郁、焦虑和孤独感等心理方面问题的困扰。及时掌握老年人的心理变化，满足老年人心理需要，促进老年人心理健康；③心理慰藉主要以陪同聊天、情绪安抚等形式开展。</w:t>
      </w:r>
    </w:p>
    <w:p>
      <w:pPr>
        <w:pStyle w:val="null3"/>
        <w:ind w:firstLine="420"/>
      </w:pPr>
      <w:r>
        <w:rPr>
          <w:rFonts w:ascii="仿宋_GB2312" w:hAnsi="仿宋_GB2312" w:cs="仿宋_GB2312" w:eastAsia="仿宋_GB2312"/>
          <w:sz w:val="24"/>
        </w:rPr>
        <w:t>（1）心理慰藉服务应注意保护服务对象的隐私权。</w:t>
      </w:r>
    </w:p>
    <w:p>
      <w:pPr>
        <w:pStyle w:val="null3"/>
        <w:ind w:firstLine="420"/>
      </w:pPr>
      <w:r>
        <w:rPr>
          <w:rFonts w:ascii="仿宋_GB2312" w:hAnsi="仿宋_GB2312" w:cs="仿宋_GB2312" w:eastAsia="仿宋_GB2312"/>
          <w:sz w:val="24"/>
        </w:rPr>
        <w:t>（2）心理慰藉服务的人员主要由心理咨询师、社会工作者、医护人员担任，也可由经验丰富的养老护理员担任。</w:t>
      </w:r>
    </w:p>
    <w:p>
      <w:pPr>
        <w:pStyle w:val="null3"/>
        <w:ind w:firstLine="420"/>
      </w:pPr>
      <w:r>
        <w:rPr>
          <w:rFonts w:ascii="仿宋_GB2312" w:hAnsi="仿宋_GB2312" w:cs="仿宋_GB2312" w:eastAsia="仿宋_GB2312"/>
          <w:sz w:val="24"/>
        </w:rPr>
        <w:t>（3）要有危机处理的意识，制定相应的危机处理预案和程序。必要时可提供相关信息寻求专业支持，协调并协助社会工作师进行认知和情绪问题的评估或诊断，或转介专业服务机构提供服务。</w:t>
      </w:r>
    </w:p>
    <w:p>
      <w:pPr>
        <w:pStyle w:val="null3"/>
        <w:ind w:firstLine="420"/>
      </w:pPr>
      <w:r>
        <w:rPr>
          <w:rFonts w:ascii="仿宋_GB2312" w:hAnsi="仿宋_GB2312" w:cs="仿宋_GB2312" w:eastAsia="仿宋_GB2312"/>
          <w:sz w:val="24"/>
        </w:rPr>
        <w:t>1.2.6</w:t>
      </w:r>
      <w:r>
        <w:rPr>
          <w:rFonts w:ascii="仿宋_GB2312" w:hAnsi="仿宋_GB2312" w:cs="仿宋_GB2312" w:eastAsia="仿宋_GB2312"/>
          <w:sz w:val="24"/>
        </w:rPr>
        <w:t>文化活动</w:t>
      </w:r>
    </w:p>
    <w:p>
      <w:pPr>
        <w:pStyle w:val="null3"/>
        <w:ind w:firstLine="420"/>
      </w:pPr>
      <w:r>
        <w:rPr>
          <w:rFonts w:ascii="仿宋_GB2312" w:hAnsi="仿宋_GB2312" w:cs="仿宋_GB2312" w:eastAsia="仿宋_GB2312"/>
          <w:sz w:val="24"/>
        </w:rPr>
        <w:t>各站点根据老年人需求定期开展文化活动。每季度举办节日庆典、法律安全等知识宣讲、理发、义诊等活动各至少1次。每季度至少开办1场健康知识讲座。每月举办1次生日会，每月至少组织1次文娱活动，内容涵盖书法、绘画、棋牌等。每月至少开办1次手工、插花等培训课程。</w:t>
      </w:r>
    </w:p>
    <w:p>
      <w:pPr>
        <w:pStyle w:val="null3"/>
        <w:ind w:firstLine="420"/>
      </w:pPr>
      <w:r>
        <w:rPr>
          <w:rFonts w:ascii="仿宋_GB2312" w:hAnsi="仿宋_GB2312" w:cs="仿宋_GB2312" w:eastAsia="仿宋_GB2312"/>
          <w:sz w:val="24"/>
        </w:rPr>
        <w:t>活动内容设计应丰富多样，覆盖不同年龄段的老人，充分照顾老人的兴趣与参与程度，确保全年老人参与率超40%；活动中应随时关注老人健康，对发生不适的老人进行及时处置。每次活动至少15人参与，每季度的活动老人新增参与率不低于10%。</w:t>
      </w:r>
    </w:p>
    <w:p>
      <w:pPr>
        <w:pStyle w:val="null3"/>
        <w:ind w:firstLine="420"/>
      </w:pPr>
      <w:r>
        <w:rPr>
          <w:rFonts w:ascii="仿宋_GB2312" w:hAnsi="仿宋_GB2312" w:cs="仿宋_GB2312" w:eastAsia="仿宋_GB2312"/>
          <w:sz w:val="24"/>
        </w:rPr>
        <w:t>服务标准：</w:t>
      </w:r>
    </w:p>
    <w:p>
      <w:pPr>
        <w:pStyle w:val="null3"/>
        <w:ind w:firstLine="420"/>
      </w:pPr>
      <w:r>
        <w:rPr>
          <w:rFonts w:ascii="仿宋_GB2312" w:hAnsi="仿宋_GB2312" w:cs="仿宋_GB2312" w:eastAsia="仿宋_GB2312"/>
          <w:sz w:val="24"/>
        </w:rPr>
        <w:t>（1）按场地条件，为老年人设置单项或多项，文化娱乐服务项目。</w:t>
      </w:r>
    </w:p>
    <w:p>
      <w:pPr>
        <w:pStyle w:val="null3"/>
        <w:ind w:firstLine="420"/>
      </w:pPr>
      <w:r>
        <w:rPr>
          <w:rFonts w:ascii="仿宋_GB2312" w:hAnsi="仿宋_GB2312" w:cs="仿宋_GB2312" w:eastAsia="仿宋_GB2312"/>
          <w:sz w:val="24"/>
        </w:rPr>
        <w:t>（2）定期开展内容较为丰富的文体娱乐活动，让不同兴趣爱好、文化程度的老年人都能参与。</w:t>
      </w:r>
    </w:p>
    <w:p>
      <w:pPr>
        <w:pStyle w:val="null3"/>
        <w:ind w:firstLine="420"/>
      </w:pPr>
      <w:r>
        <w:rPr>
          <w:rFonts w:ascii="仿宋_GB2312" w:hAnsi="仿宋_GB2312" w:cs="仿宋_GB2312" w:eastAsia="仿宋_GB2312"/>
          <w:sz w:val="24"/>
        </w:rPr>
        <w:t>（3）文化活动需在不同的小组或网格中开展，保证参加活动老年人的覆盖面。[村（居）老年人全年参与率应达到40%以上]。</w:t>
      </w:r>
    </w:p>
    <w:p>
      <w:pPr>
        <w:pStyle w:val="null3"/>
        <w:ind w:firstLine="420"/>
      </w:pPr>
      <w:r>
        <w:rPr>
          <w:rFonts w:ascii="仿宋_GB2312" w:hAnsi="仿宋_GB2312" w:cs="仿宋_GB2312" w:eastAsia="仿宋_GB2312"/>
          <w:sz w:val="24"/>
        </w:rPr>
        <w:t>（4）活动过程中，应特别关注老年人的身体状况，如遇老年人身体不适，应及时采取相应的应急措施。</w:t>
      </w:r>
    </w:p>
    <w:p>
      <w:pPr>
        <w:pStyle w:val="null3"/>
        <w:ind w:firstLine="420"/>
      </w:pPr>
      <w:r>
        <w:rPr>
          <w:rFonts w:ascii="仿宋_GB2312" w:hAnsi="仿宋_GB2312" w:cs="仿宋_GB2312" w:eastAsia="仿宋_GB2312"/>
          <w:sz w:val="24"/>
        </w:rPr>
        <w:t>（5）各类活动最低参与人数不低于15人。</w:t>
      </w:r>
    </w:p>
    <w:p>
      <w:pPr>
        <w:pStyle w:val="null3"/>
        <w:ind w:firstLine="420"/>
      </w:pPr>
      <w:r>
        <w:rPr>
          <w:rFonts w:ascii="仿宋_GB2312" w:hAnsi="仿宋_GB2312" w:cs="仿宋_GB2312" w:eastAsia="仿宋_GB2312"/>
          <w:sz w:val="24"/>
        </w:rPr>
        <w:t>1.2.7</w:t>
      </w:r>
      <w:r>
        <w:rPr>
          <w:rFonts w:ascii="仿宋_GB2312" w:hAnsi="仿宋_GB2312" w:cs="仿宋_GB2312" w:eastAsia="仿宋_GB2312"/>
          <w:sz w:val="24"/>
        </w:rPr>
        <w:t>助餐服务</w:t>
      </w:r>
    </w:p>
    <w:p>
      <w:pPr>
        <w:pStyle w:val="null3"/>
        <w:ind w:firstLine="420"/>
      </w:pPr>
      <w:r>
        <w:rPr>
          <w:rFonts w:ascii="仿宋_GB2312" w:hAnsi="仿宋_GB2312" w:cs="仿宋_GB2312" w:eastAsia="仿宋_GB2312"/>
          <w:sz w:val="24"/>
        </w:rPr>
        <w:t>提供多元化助餐服务，包括链接餐厅预约送餐、定点用餐及志愿者送餐，确保每月助餐服务满足辖区老人需求，重点满足特殊困难老人的送餐需求，为老人提供个性化服务。餐食要注重营养与卫生，尊重老人饮食习惯。对外公示助餐服务时间、服务须知，为集美区户籍老人提供免费、及时、保温的送餐服务。助餐站点需安装符合标准的智能终端，待市结算平台投入使用后，及时接入使用，并按要求准确登记用餐人员信息（具体助餐服务要求以市、区出台的助餐文件为准）。</w:t>
      </w:r>
    </w:p>
    <w:p>
      <w:pPr>
        <w:pStyle w:val="null3"/>
        <w:ind w:firstLine="420"/>
      </w:pPr>
      <w:r>
        <w:rPr>
          <w:rFonts w:ascii="仿宋_GB2312" w:hAnsi="仿宋_GB2312" w:cs="仿宋_GB2312" w:eastAsia="仿宋_GB2312"/>
          <w:sz w:val="24"/>
        </w:rPr>
        <w:t>服务标准：</w:t>
      </w:r>
    </w:p>
    <w:p>
      <w:pPr>
        <w:pStyle w:val="null3"/>
        <w:ind w:firstLine="420"/>
      </w:pPr>
      <w:r>
        <w:rPr>
          <w:rFonts w:ascii="仿宋_GB2312" w:hAnsi="仿宋_GB2312" w:cs="仿宋_GB2312" w:eastAsia="仿宋_GB2312"/>
          <w:sz w:val="24"/>
        </w:rPr>
        <w:t>（1）入驻三个月内的调研工作需包含助餐需求，根据调研结果开展助餐服务。</w:t>
      </w:r>
    </w:p>
    <w:p>
      <w:pPr>
        <w:pStyle w:val="null3"/>
        <w:ind w:firstLine="420"/>
      </w:pPr>
      <w:r>
        <w:rPr>
          <w:rFonts w:ascii="仿宋_GB2312" w:hAnsi="仿宋_GB2312" w:cs="仿宋_GB2312" w:eastAsia="仿宋_GB2312"/>
          <w:sz w:val="24"/>
        </w:rPr>
        <w:t>（2）上门做饭：①尊重老年人的饮食生活习惯，注意营养，合理配餐；②洗、煮饭菜应干净、卫生，无焦糊。</w:t>
      </w:r>
    </w:p>
    <w:p>
      <w:pPr>
        <w:pStyle w:val="null3"/>
        <w:ind w:firstLine="420"/>
      </w:pPr>
      <w:r>
        <w:rPr>
          <w:rFonts w:ascii="仿宋_GB2312" w:hAnsi="仿宋_GB2312" w:cs="仿宋_GB2312" w:eastAsia="仿宋_GB2312"/>
          <w:sz w:val="24"/>
        </w:rPr>
        <w:t>（3）对外公示助餐服务时间、服务须知等。</w:t>
      </w:r>
    </w:p>
    <w:p>
      <w:pPr>
        <w:pStyle w:val="null3"/>
        <w:ind w:firstLine="420"/>
      </w:pPr>
      <w:r>
        <w:rPr>
          <w:rFonts w:ascii="仿宋_GB2312" w:hAnsi="仿宋_GB2312" w:cs="仿宋_GB2312" w:eastAsia="仿宋_GB2312"/>
          <w:sz w:val="24"/>
        </w:rPr>
        <w:t>（4）为符合条件的集美区户籍老年人提供符合老年人营养需求的餐食，并免费提供送餐服务，送餐应及时、保温、无洒漏，保持餐具整洁。</w:t>
      </w:r>
    </w:p>
    <w:p>
      <w:pPr>
        <w:pStyle w:val="null3"/>
        <w:ind w:firstLine="420"/>
      </w:pPr>
      <w:r>
        <w:rPr>
          <w:rFonts w:ascii="仿宋_GB2312" w:hAnsi="仿宋_GB2312" w:cs="仿宋_GB2312" w:eastAsia="仿宋_GB2312"/>
          <w:sz w:val="24"/>
        </w:rPr>
        <w:t>1.2.8</w:t>
      </w:r>
      <w:r>
        <w:rPr>
          <w:rFonts w:ascii="仿宋_GB2312" w:hAnsi="仿宋_GB2312" w:cs="仿宋_GB2312" w:eastAsia="仿宋_GB2312"/>
          <w:sz w:val="24"/>
        </w:rPr>
        <w:t>社区参与</w:t>
      </w:r>
    </w:p>
    <w:p>
      <w:pPr>
        <w:pStyle w:val="null3"/>
        <w:ind w:firstLine="420"/>
      </w:pPr>
      <w:r>
        <w:rPr>
          <w:rFonts w:ascii="仿宋_GB2312" w:hAnsi="仿宋_GB2312" w:cs="仿宋_GB2312" w:eastAsia="仿宋_GB2312"/>
          <w:sz w:val="24"/>
        </w:rPr>
        <w:t>积极动员社会力量参与助老服务，组建30人以上养老志愿服务队，每月入户10人次以上并提供家政、陪聊等多元化服务。链接不少于15家至少5种类型以上的爱心企业，每季至少完成3类链接服务，服务次数占比不低于“六助”服务规定的服务次数的10%。加强志愿者培训，提升服务质量。倡导低龄健康老人服务高龄老人，构建互助养老模式。通过宣传树立敬老典型，营造爱老氛围，并发挥志愿团队作用，促进老年群体社会融合参与。</w:t>
      </w:r>
    </w:p>
    <w:p>
      <w:pPr>
        <w:pStyle w:val="null3"/>
        <w:ind w:firstLine="420"/>
      </w:pPr>
      <w:r>
        <w:rPr>
          <w:rFonts w:ascii="仿宋_GB2312" w:hAnsi="仿宋_GB2312" w:cs="仿宋_GB2312" w:eastAsia="仿宋_GB2312"/>
          <w:sz w:val="24"/>
        </w:rPr>
        <w:t>服务标准：</w:t>
      </w:r>
    </w:p>
    <w:p>
      <w:pPr>
        <w:pStyle w:val="null3"/>
        <w:ind w:firstLine="420"/>
      </w:pPr>
      <w:r>
        <w:rPr>
          <w:rFonts w:ascii="仿宋_GB2312" w:hAnsi="仿宋_GB2312" w:cs="仿宋_GB2312" w:eastAsia="仿宋_GB2312"/>
          <w:sz w:val="24"/>
        </w:rPr>
        <w:t>（1）组建爱心志愿服务队伍，每月由志愿者入户10人次开展志愿为老活动服务。</w:t>
      </w:r>
    </w:p>
    <w:p>
      <w:pPr>
        <w:pStyle w:val="null3"/>
        <w:ind w:firstLine="420"/>
      </w:pPr>
      <w:r>
        <w:rPr>
          <w:rFonts w:ascii="仿宋_GB2312" w:hAnsi="仿宋_GB2312" w:cs="仿宋_GB2312" w:eastAsia="仿宋_GB2312"/>
          <w:sz w:val="24"/>
        </w:rPr>
        <w:t>（2）链接村（居）及周边为老服务资源，不少于15家，至少5种类型，包含但不限于餐饮、理发、家政、药店、便利店等；每季度至少完成链接3种类型的服务，每季度服务次数不低于六助服务次数的10%。（其中理发只限上门服务）</w:t>
      </w:r>
    </w:p>
    <w:p>
      <w:pPr>
        <w:pStyle w:val="null3"/>
        <w:ind w:firstLine="420"/>
      </w:pPr>
      <w:r>
        <w:rPr>
          <w:rFonts w:ascii="仿宋_GB2312" w:hAnsi="仿宋_GB2312" w:cs="仿宋_GB2312" w:eastAsia="仿宋_GB2312"/>
          <w:sz w:val="24"/>
        </w:rPr>
        <w:t>（3）每季度组织一场志愿者培训或团建，每场参与率不低于50%。</w:t>
      </w:r>
    </w:p>
    <w:p>
      <w:pPr>
        <w:pStyle w:val="null3"/>
        <w:ind w:firstLine="420"/>
      </w:pPr>
      <w:r>
        <w:rPr>
          <w:rFonts w:ascii="仿宋_GB2312" w:hAnsi="仿宋_GB2312" w:cs="仿宋_GB2312" w:eastAsia="仿宋_GB2312"/>
          <w:sz w:val="24"/>
        </w:rPr>
        <w:t>（4）鼓励低龄健康老人与高龄老人结对帮扶，充分发挥各类宣传媒介的导向引领作用，树立尊老、爱老典型，营造孝老敬老的社会环境。</w:t>
      </w:r>
    </w:p>
    <w:p>
      <w:pPr>
        <w:pStyle w:val="null3"/>
        <w:ind w:firstLine="420"/>
      </w:pPr>
      <w:r>
        <w:rPr>
          <w:rFonts w:ascii="仿宋_GB2312" w:hAnsi="仿宋_GB2312" w:cs="仿宋_GB2312" w:eastAsia="仿宋_GB2312"/>
          <w:sz w:val="24"/>
        </w:rPr>
        <w:t>（5）发挥老年志愿服务团队功能，协助村（居）开展为老服务工作，拓展老年人沟通和村（居）参与的渠道，促进老年人群体的社会融合。</w:t>
      </w:r>
    </w:p>
    <w:p>
      <w:pPr>
        <w:pStyle w:val="null3"/>
        <w:ind w:firstLine="420"/>
      </w:pPr>
      <w:r>
        <w:rPr>
          <w:rFonts w:ascii="仿宋_GB2312" w:hAnsi="仿宋_GB2312" w:cs="仿宋_GB2312" w:eastAsia="仿宋_GB2312"/>
          <w:sz w:val="24"/>
        </w:rPr>
        <w:t>（6）在推行“时间银行”过程中及时收集、归拢、反馈运营过程中发现的问题。</w:t>
      </w:r>
    </w:p>
    <w:p>
      <w:pPr>
        <w:pStyle w:val="null3"/>
        <w:ind w:firstLine="420"/>
      </w:pPr>
      <w:r>
        <w:rPr>
          <w:rFonts w:ascii="仿宋_GB2312" w:hAnsi="仿宋_GB2312" w:cs="仿宋_GB2312" w:eastAsia="仿宋_GB2312"/>
          <w:sz w:val="24"/>
        </w:rPr>
        <w:t>1.2.9</w:t>
      </w:r>
      <w:r>
        <w:rPr>
          <w:rFonts w:ascii="仿宋_GB2312" w:hAnsi="仿宋_GB2312" w:cs="仿宋_GB2312" w:eastAsia="仿宋_GB2312"/>
          <w:sz w:val="24"/>
        </w:rPr>
        <w:t>医疗保障</w:t>
      </w:r>
    </w:p>
    <w:p>
      <w:pPr>
        <w:pStyle w:val="null3"/>
        <w:ind w:firstLine="420"/>
      </w:pPr>
      <w:r>
        <w:rPr>
          <w:rFonts w:ascii="仿宋_GB2312" w:hAnsi="仿宋_GB2312" w:cs="仿宋_GB2312" w:eastAsia="仿宋_GB2312"/>
          <w:sz w:val="24"/>
        </w:rPr>
        <w:t>协助推进家庭医生签约，为居家老人提供健康膳食指导，与卫生服务中心签署医养结合协议，确保老年人享受健康档案管理、预防保健等全方位医疗保障服务，入驻三个月内完成医养结合协议签订，助力老年人健康生活。</w:t>
      </w:r>
    </w:p>
    <w:p>
      <w:pPr>
        <w:pStyle w:val="null3"/>
        <w:ind w:firstLine="420"/>
      </w:pPr>
      <w:r>
        <w:rPr>
          <w:rFonts w:ascii="仿宋_GB2312" w:hAnsi="仿宋_GB2312" w:cs="仿宋_GB2312" w:eastAsia="仿宋_GB2312"/>
          <w:sz w:val="24"/>
        </w:rPr>
        <w:t>服务标准：</w:t>
      </w:r>
    </w:p>
    <w:p>
      <w:pPr>
        <w:pStyle w:val="null3"/>
        <w:ind w:firstLine="420"/>
      </w:pPr>
      <w:r>
        <w:rPr>
          <w:rFonts w:ascii="仿宋_GB2312" w:hAnsi="仿宋_GB2312" w:cs="仿宋_GB2312" w:eastAsia="仿宋_GB2312"/>
          <w:sz w:val="24"/>
        </w:rPr>
        <w:t>（1）协助宣传、组织、动员老年人参与公共卫生服务、家庭医生签约。</w:t>
      </w:r>
    </w:p>
    <w:p>
      <w:pPr>
        <w:pStyle w:val="null3"/>
        <w:ind w:firstLine="420"/>
      </w:pPr>
      <w:r>
        <w:rPr>
          <w:rFonts w:ascii="仿宋_GB2312" w:hAnsi="仿宋_GB2312" w:cs="仿宋_GB2312" w:eastAsia="仿宋_GB2312"/>
          <w:sz w:val="24"/>
        </w:rPr>
        <w:t>（2）入驻三个月内与辖区卫生服务中心（卫生院）签署医养结合合作协议，协议内容包括但不限于为老年人提供健康档案管理、预防保健、基础监测、健康体检、医疗护理等医疗保障服务。</w:t>
      </w:r>
    </w:p>
    <w:p>
      <w:pPr>
        <w:pStyle w:val="null3"/>
        <w:ind w:firstLine="420"/>
      </w:pPr>
      <w:r>
        <w:rPr>
          <w:rFonts w:ascii="仿宋_GB2312" w:hAnsi="仿宋_GB2312" w:cs="仿宋_GB2312" w:eastAsia="仿宋_GB2312"/>
          <w:sz w:val="24"/>
        </w:rPr>
        <w:t>1.2.10</w:t>
      </w:r>
      <w:r>
        <w:rPr>
          <w:rFonts w:ascii="仿宋_GB2312" w:hAnsi="仿宋_GB2312" w:cs="仿宋_GB2312" w:eastAsia="仿宋_GB2312"/>
          <w:sz w:val="24"/>
        </w:rPr>
        <w:t>信息化运营</w:t>
      </w:r>
    </w:p>
    <w:p>
      <w:pPr>
        <w:pStyle w:val="null3"/>
        <w:ind w:firstLine="420"/>
      </w:pPr>
      <w:r>
        <w:rPr>
          <w:rFonts w:ascii="仿宋_GB2312" w:hAnsi="仿宋_GB2312" w:cs="仿宋_GB2312" w:eastAsia="仿宋_GB2312"/>
          <w:sz w:val="24"/>
        </w:rPr>
        <w:t>各站点应实现养老服务设施信息化运营，配备相应管理系统及硬件设备。提供包含：基本数据信息管理、活动管理、居家上门服务过程管理、助餐管理、志愿服务管理、服务实时在线督察、7×24小时一键求援等功能服务。</w:t>
      </w:r>
    </w:p>
    <w:p>
      <w:pPr>
        <w:pStyle w:val="null3"/>
        <w:spacing w:before="90" w:after="90"/>
        <w:ind w:firstLine="480"/>
      </w:pPr>
      <w:r>
        <w:rPr>
          <w:rFonts w:ascii="仿宋_GB2312" w:hAnsi="仿宋_GB2312" w:cs="仿宋_GB2312" w:eastAsia="仿宋_GB2312"/>
          <w:sz w:val="24"/>
        </w:rPr>
        <w:t>站点运营期间的数据均需优先在市养老服务平台上进行录入，第三方评估时优先利用市养老平台数据开展考核评估。</w:t>
      </w:r>
    </w:p>
    <w:p>
      <w:pPr>
        <w:pStyle w:val="null3"/>
        <w:ind w:firstLine="420"/>
      </w:pPr>
      <w:r>
        <w:rPr>
          <w:rFonts w:ascii="仿宋_GB2312" w:hAnsi="仿宋_GB2312" w:cs="仿宋_GB2312" w:eastAsia="仿宋_GB2312"/>
          <w:sz w:val="24"/>
        </w:rPr>
        <w:t>中标供应商需提供自有管理平台，且数据能与市、区两级养老平台实现数据对接（url接口调用），定期进行数据交互配。</w:t>
      </w:r>
    </w:p>
    <w:p>
      <w:pPr>
        <w:pStyle w:val="null3"/>
        <w:ind w:firstLine="420"/>
      </w:pPr>
      <w:r>
        <w:rPr>
          <w:rFonts w:ascii="仿宋_GB2312" w:hAnsi="仿宋_GB2312" w:cs="仿宋_GB2312" w:eastAsia="仿宋_GB2312"/>
          <w:sz w:val="24"/>
        </w:rPr>
        <w:t>配备的助老员应熟练使用市、区两级养老平台。</w:t>
      </w:r>
    </w:p>
    <w:p>
      <w:pPr>
        <w:pStyle w:val="null3"/>
        <w:spacing w:before="90" w:after="90"/>
        <w:ind w:firstLine="402"/>
      </w:pPr>
      <w:r>
        <w:rPr>
          <w:rFonts w:ascii="仿宋_GB2312" w:hAnsi="仿宋_GB2312" w:cs="仿宋_GB2312" w:eastAsia="仿宋_GB2312"/>
          <w:sz w:val="24"/>
        </w:rPr>
        <w:t>1.2.10.1</w:t>
      </w:r>
      <w:r>
        <w:rPr>
          <w:rFonts w:ascii="仿宋_GB2312" w:hAnsi="仿宋_GB2312" w:cs="仿宋_GB2312" w:eastAsia="仿宋_GB2312"/>
          <w:sz w:val="24"/>
        </w:rPr>
        <w:t>信息化平台要求</w:t>
      </w:r>
    </w:p>
    <w:tbl>
      <w:tblPr>
        <w:tblW w:w="0" w:type="auto"/>
        <w:tblBorders>
          <w:top w:val="none" w:color="000000" w:sz="4"/>
          <w:left w:val="none" w:color="000000" w:sz="4"/>
          <w:bottom w:val="none" w:color="000000" w:sz="4"/>
          <w:right w:val="none" w:color="000000" w:sz="4"/>
          <w:insideH w:val="none"/>
          <w:insideV w:val="none"/>
        </w:tblBorders>
      </w:tblPr>
      <w:tblGrid>
        <w:gridCol w:w="668"/>
        <w:gridCol w:w="900"/>
        <w:gridCol w:w="900"/>
        <w:gridCol w:w="5823"/>
      </w:tblGrid>
      <w:tr>
        <w:tc>
          <w:tcPr>
            <w:tcW w:type="dxa" w:w="668"/>
            <w:tcBorders>
              <w:top w:val="double" w:color="000000" w:sz="8"/>
              <w:left w:val="double" w:color="000000" w:sz="8"/>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b/>
              </w:rPr>
              <w:t>序号</w:t>
            </w:r>
          </w:p>
        </w:tc>
        <w:tc>
          <w:tcPr>
            <w:tcW w:type="dxa" w:w="900"/>
            <w:tcBorders>
              <w:top w:val="double" w:color="000000" w:sz="8"/>
              <w:left w:val="none" w:color="000000" w:sz="4"/>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b/>
              </w:rPr>
              <w:t>项目</w:t>
            </w:r>
          </w:p>
        </w:tc>
        <w:tc>
          <w:tcPr>
            <w:tcW w:type="dxa" w:w="900"/>
            <w:tcBorders>
              <w:top w:val="double" w:color="000000" w:sz="8"/>
              <w:left w:val="none" w:color="000000" w:sz="4"/>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b/>
              </w:rPr>
              <w:t>子项目</w:t>
            </w:r>
          </w:p>
        </w:tc>
        <w:tc>
          <w:tcPr>
            <w:tcW w:type="dxa" w:w="5823"/>
            <w:tcBorders>
              <w:top w:val="double" w:color="000000" w:sz="8"/>
              <w:left w:val="none" w:color="000000" w:sz="4"/>
              <w:bottom w:val="single" w:color="000000" w:sz="4"/>
              <w:right w:val="double" w:color="000000" w:sz="8"/>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b/>
              </w:rPr>
              <w:t>说明</w:t>
            </w:r>
          </w:p>
        </w:tc>
      </w:tr>
      <w:tr>
        <w:tc>
          <w:tcPr>
            <w:tcW w:type="dxa" w:w="668"/>
            <w:tcBorders>
              <w:top w:val="none" w:color="000000" w:sz="4"/>
              <w:left w:val="double" w:color="000000" w:sz="8"/>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1</w:t>
            </w:r>
          </w:p>
        </w:tc>
        <w:tc>
          <w:tcPr>
            <w:tcW w:type="dxa" w:w="9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服务内容展示</w:t>
            </w:r>
          </w:p>
        </w:tc>
        <w:tc>
          <w:tcPr>
            <w:tcW w:type="dxa" w:w="9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村（居）</w:t>
            </w:r>
          </w:p>
        </w:tc>
        <w:tc>
          <w:tcPr>
            <w:tcW w:type="dxa" w:w="5823"/>
            <w:tcBorders>
              <w:top w:val="none" w:color="000000" w:sz="4"/>
              <w:left w:val="none" w:color="000000" w:sz="4"/>
              <w:bottom w:val="single" w:color="000000" w:sz="4"/>
              <w:right w:val="double" w:color="000000" w:sz="8"/>
            </w:tcBorders>
            <w:tcMar>
              <w:top w:type="dxa" w:w="0"/>
              <w:left w:type="dxa" w:w="120"/>
              <w:bottom w:type="dxa" w:w="0"/>
              <w:right w:type="dxa" w:w="120"/>
            </w:tcMar>
          </w:tcPr>
          <w:p>
            <w:pPr>
              <w:pStyle w:val="null3"/>
              <w:spacing w:before="90" w:after="90"/>
              <w:jc w:val="both"/>
            </w:pPr>
            <w:r>
              <w:rPr>
                <w:rFonts w:ascii="仿宋_GB2312" w:hAnsi="仿宋_GB2312" w:cs="仿宋_GB2312" w:eastAsia="仿宋_GB2312"/>
                <w:sz w:val="24"/>
              </w:rPr>
              <w:t>（1）展示居家养老服务站的统计信息，包括居家养老服务站统计、助餐点统计、为老服务志愿队伍统计、老年活动室和总服务人数，显示提供的六助服务时长情况、助餐服务数量情况，老人参加活动的情况以及村（居）活动图片，老人享受服务的占比，提供六助服务视频接入功能。</w:t>
            </w:r>
          </w:p>
          <w:p>
            <w:pPr>
              <w:pStyle w:val="null3"/>
              <w:spacing w:before="90" w:after="90"/>
              <w:jc w:val="both"/>
            </w:pPr>
            <w:r>
              <w:rPr>
                <w:rFonts w:ascii="仿宋_GB2312" w:hAnsi="仿宋_GB2312" w:cs="仿宋_GB2312" w:eastAsia="仿宋_GB2312"/>
                <w:sz w:val="24"/>
              </w:rPr>
              <w:t>（2）展示居家养老服务站的分布情况，显示村（居）活动列表，服务中心基本情况。</w:t>
            </w:r>
          </w:p>
        </w:tc>
      </w:tr>
      <w:tr>
        <w:tc>
          <w:tcPr>
            <w:tcW w:type="dxa" w:w="668"/>
            <w:vMerge w:val="restart"/>
            <w:tcBorders>
              <w:top w:val="none" w:color="000000" w:sz="4"/>
              <w:left w:val="double" w:color="000000" w:sz="8"/>
              <w:bottom w:val="double" w:color="000000" w:sz="8"/>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2</w:t>
            </w:r>
          </w:p>
        </w:tc>
        <w:tc>
          <w:tcPr>
            <w:tcW w:type="dxa" w:w="900"/>
            <w:vMerge w:val="restart"/>
            <w:tcBorders>
              <w:top w:val="none" w:color="000000" w:sz="4"/>
              <w:left w:val="none" w:color="000000" w:sz="4"/>
              <w:bottom w:val="double" w:color="000000" w:sz="8"/>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社区养老</w:t>
            </w:r>
          </w:p>
        </w:tc>
        <w:tc>
          <w:tcPr>
            <w:tcW w:type="dxa" w:w="9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基本数据信息管理</w:t>
            </w:r>
          </w:p>
        </w:tc>
        <w:tc>
          <w:tcPr>
            <w:tcW w:type="dxa" w:w="5823"/>
            <w:tcBorders>
              <w:top w:val="none" w:color="000000" w:sz="4"/>
              <w:left w:val="none" w:color="000000" w:sz="4"/>
              <w:bottom w:val="single" w:color="000000" w:sz="4"/>
              <w:right w:val="double" w:color="000000" w:sz="8"/>
            </w:tcBorders>
            <w:tcMar>
              <w:top w:type="dxa" w:w="0"/>
              <w:left w:type="dxa" w:w="120"/>
              <w:bottom w:type="dxa" w:w="0"/>
              <w:right w:type="dxa" w:w="120"/>
            </w:tcMar>
          </w:tcPr>
          <w:p>
            <w:pPr>
              <w:pStyle w:val="null3"/>
              <w:spacing w:before="90" w:after="90"/>
              <w:jc w:val="both"/>
            </w:pPr>
            <w:r>
              <w:rPr>
                <w:rFonts w:ascii="仿宋_GB2312" w:hAnsi="仿宋_GB2312" w:cs="仿宋_GB2312" w:eastAsia="仿宋_GB2312"/>
                <w:sz w:val="24"/>
              </w:rPr>
              <w:t>（1）为老年人登记信息并建立个人档案，包括老年人基本信息（姓名、性别、年龄、身份证号码、户籍地址、现居地址等）、服务需求、联系方式、身体健康信息、保障对象类型、文化程度、政治面貌、婚姻状况、活动记录等。</w:t>
            </w:r>
          </w:p>
          <w:p>
            <w:pPr>
              <w:pStyle w:val="null3"/>
              <w:spacing w:before="90" w:after="90"/>
              <w:jc w:val="both"/>
            </w:pPr>
            <w:r>
              <w:rPr>
                <w:rFonts w:ascii="仿宋_GB2312" w:hAnsi="仿宋_GB2312" w:cs="仿宋_GB2312" w:eastAsia="仿宋_GB2312"/>
                <w:sz w:val="24"/>
              </w:rPr>
              <w:t>（2）对村（居）养老服务主体（居家养老服务站、助餐点等）的基本情况、服务内容、服务人员等信息和村（居）养老服务主体的运营管理单位的基本情况进行登记和管理。村（居）养老服务主体的运营管理单位可以进行内部管理，包括人事管理、服务安排等。</w:t>
            </w:r>
          </w:p>
          <w:p>
            <w:pPr>
              <w:pStyle w:val="null3"/>
              <w:spacing w:before="90" w:after="90"/>
              <w:jc w:val="both"/>
            </w:pPr>
            <w:r>
              <w:rPr>
                <w:rFonts w:ascii="仿宋_GB2312" w:hAnsi="仿宋_GB2312" w:cs="仿宋_GB2312" w:eastAsia="仿宋_GB2312"/>
                <w:sz w:val="24"/>
              </w:rPr>
              <w:t>（3）通过多种维度（如活动数、服务人数等），记录各个时期村（居）养老服务开展情况，统计各场所的实时数据。</w:t>
            </w:r>
          </w:p>
          <w:p>
            <w:pPr>
              <w:pStyle w:val="null3"/>
              <w:spacing w:before="90" w:after="90"/>
              <w:jc w:val="both"/>
            </w:pPr>
            <w:r>
              <w:rPr>
                <w:rFonts w:ascii="仿宋_GB2312" w:hAnsi="仿宋_GB2312" w:cs="仿宋_GB2312" w:eastAsia="仿宋_GB2312"/>
                <w:sz w:val="24"/>
              </w:rPr>
              <w:t>（4）有专人及时维护。</w:t>
            </w:r>
          </w:p>
        </w:tc>
      </w:tr>
      <w:tr>
        <w:tc>
          <w:tcPr>
            <w:tcW w:type="dxa" w:w="668"/>
            <w:vMerge/>
            <w:tcBorders>
              <w:top w:val="none" w:color="000000" w:sz="4"/>
              <w:left w:val="double" w:color="000000" w:sz="8"/>
              <w:bottom w:val="double" w:color="000000" w:sz="8"/>
              <w:right w:val="single" w:color="000000" w:sz="4"/>
            </w:tcBorders>
          </w:tcPr>
          <w:p/>
        </w:tc>
        <w:tc>
          <w:tcPr>
            <w:tcW w:type="dxa" w:w="900"/>
            <w:vMerge/>
            <w:tcBorders>
              <w:top w:val="none" w:color="000000" w:sz="4"/>
              <w:left w:val="none" w:color="000000" w:sz="4"/>
              <w:bottom w:val="double" w:color="000000" w:sz="8"/>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活动管理</w:t>
            </w:r>
          </w:p>
        </w:tc>
        <w:tc>
          <w:tcPr>
            <w:tcW w:type="dxa" w:w="5823"/>
            <w:tcBorders>
              <w:top w:val="none" w:color="000000" w:sz="4"/>
              <w:left w:val="none" w:color="000000" w:sz="4"/>
              <w:bottom w:val="single" w:color="000000" w:sz="4"/>
              <w:right w:val="double" w:color="000000" w:sz="8"/>
            </w:tcBorders>
            <w:tcMar>
              <w:top w:type="dxa" w:w="0"/>
              <w:left w:type="dxa" w:w="120"/>
              <w:bottom w:type="dxa" w:w="0"/>
              <w:right w:type="dxa" w:w="120"/>
            </w:tcMar>
          </w:tcPr>
          <w:p>
            <w:pPr>
              <w:pStyle w:val="null3"/>
              <w:spacing w:before="90" w:after="90"/>
              <w:jc w:val="both"/>
            </w:pPr>
            <w:r>
              <w:rPr>
                <w:rFonts w:ascii="仿宋_GB2312" w:hAnsi="仿宋_GB2312" w:cs="仿宋_GB2312" w:eastAsia="仿宋_GB2312"/>
                <w:sz w:val="24"/>
              </w:rPr>
              <w:t>可记录各种活动、讲座、培训等，包括不限于照片、地址、参与人员记录等。可对接市、区两级养老服务平台，定期进行数据交互，涉及活动覆盖率的应能记录并体现覆盖点位和范围。</w:t>
            </w:r>
          </w:p>
        </w:tc>
      </w:tr>
      <w:tr>
        <w:tc>
          <w:tcPr>
            <w:tcW w:type="dxa" w:w="668"/>
            <w:vMerge/>
            <w:tcBorders>
              <w:top w:val="none" w:color="000000" w:sz="4"/>
              <w:left w:val="double" w:color="000000" w:sz="8"/>
              <w:bottom w:val="double" w:color="000000" w:sz="8"/>
              <w:right w:val="single" w:color="000000" w:sz="4"/>
            </w:tcBorders>
          </w:tcPr>
          <w:p/>
        </w:tc>
        <w:tc>
          <w:tcPr>
            <w:tcW w:type="dxa" w:w="900"/>
            <w:vMerge/>
            <w:tcBorders>
              <w:top w:val="none" w:color="000000" w:sz="4"/>
              <w:left w:val="none" w:color="000000" w:sz="4"/>
              <w:bottom w:val="double" w:color="000000" w:sz="8"/>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居家上门服务过程管理</w:t>
            </w:r>
          </w:p>
        </w:tc>
        <w:tc>
          <w:tcPr>
            <w:tcW w:type="dxa" w:w="5823"/>
            <w:tcBorders>
              <w:top w:val="none" w:color="000000" w:sz="4"/>
              <w:left w:val="none" w:color="000000" w:sz="4"/>
              <w:bottom w:val="single" w:color="000000" w:sz="4"/>
              <w:right w:val="double" w:color="000000" w:sz="8"/>
            </w:tcBorders>
            <w:tcMar>
              <w:top w:type="dxa" w:w="0"/>
              <w:left w:type="dxa" w:w="120"/>
              <w:bottom w:type="dxa" w:w="0"/>
              <w:right w:type="dxa" w:w="120"/>
            </w:tcMar>
          </w:tcPr>
          <w:p>
            <w:pPr>
              <w:pStyle w:val="null3"/>
              <w:spacing w:before="90" w:after="90"/>
              <w:jc w:val="both"/>
            </w:pPr>
            <w:r>
              <w:rPr>
                <w:rFonts w:ascii="仿宋_GB2312" w:hAnsi="仿宋_GB2312" w:cs="仿宋_GB2312" w:eastAsia="仿宋_GB2312"/>
                <w:sz w:val="24"/>
              </w:rPr>
              <w:t>（1）对每日所开展的服务情况进行管理和记录，助老员入户应采用拍照、视频或签到方式记录，所有记录方式均要求能体现服务场所的基本信息。涉及服务时长的应保证首次打卡与末次打卡的地址、内容等一致，且按规定开展服务并记录时长，相关记录保存时间不小于4个月。</w:t>
            </w:r>
          </w:p>
          <w:p>
            <w:pPr>
              <w:pStyle w:val="null3"/>
              <w:spacing w:before="90" w:after="90"/>
              <w:jc w:val="both"/>
            </w:pPr>
            <w:r>
              <w:rPr>
                <w:rFonts w:ascii="仿宋_GB2312" w:hAnsi="仿宋_GB2312" w:cs="仿宋_GB2312" w:eastAsia="仿宋_GB2312"/>
                <w:sz w:val="24"/>
              </w:rPr>
              <w:t>（2）可实现助老员轨迹跟踪、服务时长记录、后台数据上传，并可实时联系助老员入户服务具体情况。</w:t>
            </w:r>
          </w:p>
        </w:tc>
      </w:tr>
      <w:tr>
        <w:tc>
          <w:tcPr>
            <w:tcW w:type="dxa" w:w="668"/>
            <w:vMerge/>
            <w:tcBorders>
              <w:top w:val="none" w:color="000000" w:sz="4"/>
              <w:left w:val="double" w:color="000000" w:sz="8"/>
              <w:bottom w:val="double" w:color="000000" w:sz="8"/>
              <w:right w:val="single" w:color="000000" w:sz="4"/>
            </w:tcBorders>
          </w:tcPr>
          <w:p/>
        </w:tc>
        <w:tc>
          <w:tcPr>
            <w:tcW w:type="dxa" w:w="900"/>
            <w:vMerge/>
            <w:tcBorders>
              <w:top w:val="none" w:color="000000" w:sz="4"/>
              <w:left w:val="none" w:color="000000" w:sz="4"/>
              <w:bottom w:val="double" w:color="000000" w:sz="8"/>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助餐管理</w:t>
            </w:r>
          </w:p>
        </w:tc>
        <w:tc>
          <w:tcPr>
            <w:tcW w:type="dxa" w:w="5823"/>
            <w:tcBorders>
              <w:top w:val="none" w:color="000000" w:sz="4"/>
              <w:left w:val="none" w:color="000000" w:sz="4"/>
              <w:bottom w:val="single" w:color="000000" w:sz="4"/>
              <w:right w:val="double" w:color="000000" w:sz="8"/>
            </w:tcBorders>
            <w:tcMar>
              <w:top w:type="dxa" w:w="0"/>
              <w:left w:type="dxa" w:w="120"/>
              <w:bottom w:type="dxa" w:w="0"/>
              <w:right w:type="dxa" w:w="120"/>
            </w:tcMar>
          </w:tcPr>
          <w:p>
            <w:pPr>
              <w:pStyle w:val="null3"/>
              <w:spacing w:before="90" w:after="90"/>
              <w:jc w:val="both"/>
            </w:pPr>
            <w:r>
              <w:rPr>
                <w:rFonts w:ascii="仿宋_GB2312" w:hAnsi="仿宋_GB2312" w:cs="仿宋_GB2312" w:eastAsia="仿宋_GB2312"/>
                <w:sz w:val="24"/>
              </w:rPr>
              <w:t>（1）统计辖区内的助餐点信息；</w:t>
            </w:r>
          </w:p>
          <w:p>
            <w:pPr>
              <w:pStyle w:val="null3"/>
              <w:spacing w:before="90" w:after="90"/>
              <w:jc w:val="both"/>
            </w:pPr>
            <w:r>
              <w:rPr>
                <w:rFonts w:ascii="仿宋_GB2312" w:hAnsi="仿宋_GB2312" w:cs="仿宋_GB2312" w:eastAsia="仿宋_GB2312"/>
                <w:sz w:val="24"/>
              </w:rPr>
              <w:t>（2）统计助餐服务记录，包括老人用餐记录，用餐方式、用餐照片、消费金额、符合条件的用餐补贴对象等信息。</w:t>
            </w:r>
          </w:p>
          <w:p>
            <w:pPr>
              <w:pStyle w:val="null3"/>
              <w:spacing w:before="90" w:after="90"/>
              <w:jc w:val="both"/>
            </w:pPr>
            <w:r>
              <w:rPr>
                <w:rFonts w:ascii="仿宋_GB2312" w:hAnsi="仿宋_GB2312" w:cs="仿宋_GB2312" w:eastAsia="仿宋_GB2312"/>
                <w:sz w:val="24"/>
              </w:rPr>
              <w:t>（3）收银终端具备便捷的支付功能，包括人脸支付、刷卡支付、微信支付功能。</w:t>
            </w:r>
          </w:p>
          <w:p>
            <w:pPr>
              <w:pStyle w:val="null3"/>
              <w:spacing w:before="90" w:after="90"/>
              <w:jc w:val="both"/>
            </w:pPr>
            <w:r>
              <w:rPr>
                <w:rFonts w:ascii="仿宋_GB2312" w:hAnsi="仿宋_GB2312" w:cs="仿宋_GB2312" w:eastAsia="仿宋_GB2312"/>
                <w:sz w:val="24"/>
              </w:rPr>
              <w:t>（4）智能终端具备采集长者身份和人脸数据、接入市结算平台的功能，并按要求准确登记用餐人员信息。</w:t>
            </w:r>
          </w:p>
        </w:tc>
      </w:tr>
      <w:tr>
        <w:tc>
          <w:tcPr>
            <w:tcW w:type="dxa" w:w="668"/>
            <w:vMerge/>
            <w:tcBorders>
              <w:top w:val="none" w:color="000000" w:sz="4"/>
              <w:left w:val="double" w:color="000000" w:sz="8"/>
              <w:bottom w:val="double" w:color="000000" w:sz="8"/>
              <w:right w:val="single" w:color="000000" w:sz="4"/>
            </w:tcBorders>
          </w:tcPr>
          <w:p/>
        </w:tc>
        <w:tc>
          <w:tcPr>
            <w:tcW w:type="dxa" w:w="900"/>
            <w:vMerge/>
            <w:tcBorders>
              <w:top w:val="none" w:color="000000" w:sz="4"/>
              <w:left w:val="none" w:color="000000" w:sz="4"/>
              <w:bottom w:val="double" w:color="000000" w:sz="8"/>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志愿服务管理</w:t>
            </w:r>
          </w:p>
        </w:tc>
        <w:tc>
          <w:tcPr>
            <w:tcW w:type="dxa" w:w="5823"/>
            <w:tcBorders>
              <w:top w:val="none" w:color="000000" w:sz="4"/>
              <w:left w:val="none" w:color="000000" w:sz="4"/>
              <w:bottom w:val="single" w:color="000000" w:sz="4"/>
              <w:right w:val="double" w:color="000000" w:sz="8"/>
            </w:tcBorders>
            <w:tcMar>
              <w:top w:type="dxa" w:w="0"/>
              <w:left w:type="dxa" w:w="120"/>
              <w:bottom w:type="dxa" w:w="0"/>
              <w:right w:type="dxa" w:w="120"/>
            </w:tcMar>
          </w:tcPr>
          <w:p>
            <w:pPr>
              <w:pStyle w:val="null3"/>
              <w:spacing w:before="90" w:after="90"/>
              <w:jc w:val="both"/>
            </w:pPr>
            <w:r>
              <w:rPr>
                <w:rFonts w:ascii="仿宋_GB2312" w:hAnsi="仿宋_GB2312" w:cs="仿宋_GB2312" w:eastAsia="仿宋_GB2312"/>
                <w:sz w:val="24"/>
              </w:rPr>
              <w:t>（1）统计志愿服务活动的发布情况，包括活动时长、活动内容、活动积分、志愿者数据等；</w:t>
            </w:r>
          </w:p>
          <w:p>
            <w:pPr>
              <w:pStyle w:val="null3"/>
              <w:spacing w:before="90" w:after="90"/>
              <w:jc w:val="both"/>
            </w:pPr>
            <w:r>
              <w:rPr>
                <w:rFonts w:ascii="仿宋_GB2312" w:hAnsi="仿宋_GB2312" w:cs="仿宋_GB2312" w:eastAsia="仿宋_GB2312"/>
                <w:sz w:val="24"/>
              </w:rPr>
              <w:t>（2）可进行志愿者服务团队的管理，具备志愿者注册、志愿者审核、志愿活动发布、志愿活动报名、志愿活动展示、志愿者、活动、积分和积分兑换等进行管理。</w:t>
            </w:r>
          </w:p>
        </w:tc>
      </w:tr>
      <w:tr>
        <w:tc>
          <w:tcPr>
            <w:tcW w:type="dxa" w:w="668"/>
            <w:vMerge/>
            <w:tcBorders>
              <w:top w:val="none" w:color="000000" w:sz="4"/>
              <w:left w:val="double" w:color="000000" w:sz="8"/>
              <w:bottom w:val="double" w:color="000000" w:sz="8"/>
              <w:right w:val="single" w:color="000000" w:sz="4"/>
            </w:tcBorders>
          </w:tcPr>
          <w:p/>
        </w:tc>
        <w:tc>
          <w:tcPr>
            <w:tcW w:type="dxa" w:w="900"/>
            <w:vMerge/>
            <w:tcBorders>
              <w:top w:val="none" w:color="000000" w:sz="4"/>
              <w:left w:val="none" w:color="000000" w:sz="4"/>
              <w:bottom w:val="double" w:color="000000" w:sz="8"/>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服务实时在线督察</w:t>
            </w:r>
          </w:p>
        </w:tc>
        <w:tc>
          <w:tcPr>
            <w:tcW w:type="dxa" w:w="5823"/>
            <w:tcBorders>
              <w:top w:val="none" w:color="000000" w:sz="4"/>
              <w:left w:val="none" w:color="000000" w:sz="4"/>
              <w:bottom w:val="single" w:color="000000" w:sz="4"/>
              <w:right w:val="double" w:color="000000" w:sz="8"/>
            </w:tcBorders>
            <w:tcMar>
              <w:top w:type="dxa" w:w="0"/>
              <w:left w:type="dxa" w:w="120"/>
              <w:bottom w:type="dxa" w:w="0"/>
              <w:right w:type="dxa" w:w="120"/>
            </w:tcMar>
          </w:tcPr>
          <w:p>
            <w:pPr>
              <w:pStyle w:val="null3"/>
              <w:spacing w:before="90" w:after="90"/>
              <w:jc w:val="both"/>
            </w:pPr>
            <w:r>
              <w:rPr>
                <w:rFonts w:ascii="仿宋_GB2312" w:hAnsi="仿宋_GB2312" w:cs="仿宋_GB2312" w:eastAsia="仿宋_GB2312"/>
                <w:sz w:val="24"/>
              </w:rPr>
              <w:t>（1）可实时连线并记录服务人员在线服务时长及在线服务状态。</w:t>
            </w:r>
          </w:p>
          <w:p>
            <w:pPr>
              <w:pStyle w:val="null3"/>
              <w:spacing w:before="90" w:after="90"/>
              <w:jc w:val="both"/>
            </w:pPr>
            <w:r>
              <w:rPr>
                <w:rFonts w:ascii="仿宋_GB2312" w:hAnsi="仿宋_GB2312" w:cs="仿宋_GB2312" w:eastAsia="仿宋_GB2312"/>
                <w:sz w:val="24"/>
              </w:rPr>
              <w:t>（2）能够随时查阅不同时期的数据，可以通过多种维度（如活动数、服务人数等），对村（居）养老服务开展情况进行统计分析。</w:t>
            </w:r>
          </w:p>
          <w:p>
            <w:pPr>
              <w:pStyle w:val="null3"/>
              <w:spacing w:before="90" w:after="90"/>
              <w:jc w:val="both"/>
            </w:pPr>
            <w:r>
              <w:rPr>
                <w:rFonts w:ascii="仿宋_GB2312" w:hAnsi="仿宋_GB2312" w:cs="仿宋_GB2312" w:eastAsia="仿宋_GB2312"/>
                <w:sz w:val="24"/>
              </w:rPr>
              <w:t>（3）可实时查看场地情况。</w:t>
            </w:r>
          </w:p>
        </w:tc>
      </w:tr>
      <w:tr>
        <w:tc>
          <w:tcPr>
            <w:tcW w:type="dxa" w:w="668"/>
            <w:vMerge/>
            <w:tcBorders>
              <w:top w:val="none" w:color="000000" w:sz="4"/>
              <w:left w:val="double" w:color="000000" w:sz="8"/>
              <w:bottom w:val="double" w:color="000000" w:sz="8"/>
              <w:right w:val="single" w:color="000000" w:sz="4"/>
            </w:tcBorders>
          </w:tcPr>
          <w:p/>
        </w:tc>
        <w:tc>
          <w:tcPr>
            <w:tcW w:type="dxa" w:w="900"/>
            <w:vMerge/>
            <w:tcBorders>
              <w:top w:val="none" w:color="000000" w:sz="4"/>
              <w:left w:val="none" w:color="000000" w:sz="4"/>
              <w:bottom w:val="double" w:color="000000" w:sz="8"/>
              <w:right w:val="single" w:color="000000" w:sz="4"/>
            </w:tcBorders>
          </w:tcPr>
          <w:p/>
        </w:tc>
        <w:tc>
          <w:tcPr>
            <w:tcW w:type="dxa" w:w="900"/>
            <w:tcBorders>
              <w:top w:val="none" w:color="000000" w:sz="4"/>
              <w:left w:val="none" w:color="000000" w:sz="4"/>
              <w:bottom w:val="double" w:color="000000" w:sz="8"/>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7</w:t>
            </w:r>
            <w:r>
              <w:rPr>
                <w:rFonts w:ascii="仿宋_GB2312" w:hAnsi="仿宋_GB2312" w:cs="仿宋_GB2312" w:eastAsia="仿宋_GB2312"/>
                <w:sz w:val="24"/>
              </w:rPr>
              <w:t>×24小时一键求援</w:t>
            </w:r>
          </w:p>
        </w:tc>
        <w:tc>
          <w:tcPr>
            <w:tcW w:type="dxa" w:w="5823"/>
            <w:tcBorders>
              <w:top w:val="none" w:color="000000" w:sz="4"/>
              <w:left w:val="none" w:color="000000" w:sz="4"/>
              <w:bottom w:val="double" w:color="000000" w:sz="8"/>
              <w:right w:val="double" w:color="000000" w:sz="8"/>
            </w:tcBorders>
            <w:tcMar>
              <w:top w:type="dxa" w:w="0"/>
              <w:left w:type="dxa" w:w="120"/>
              <w:bottom w:type="dxa" w:w="0"/>
              <w:right w:type="dxa" w:w="120"/>
            </w:tcMar>
          </w:tcPr>
          <w:p>
            <w:pPr>
              <w:pStyle w:val="null3"/>
              <w:spacing w:before="90" w:after="90"/>
              <w:jc w:val="both"/>
            </w:pPr>
            <w:r>
              <w:rPr>
                <w:rFonts w:ascii="仿宋_GB2312" w:hAnsi="仿宋_GB2312" w:cs="仿宋_GB2312" w:eastAsia="仿宋_GB2312"/>
                <w:sz w:val="24"/>
              </w:rPr>
              <w:t>可实现一键求援功能，为老人提供7×24小时的紧急救援服务。</w:t>
            </w:r>
          </w:p>
        </w:tc>
      </w:tr>
    </w:tbl>
    <w:p>
      <w:pPr>
        <w:pStyle w:val="null3"/>
        <w:spacing w:before="90" w:after="90"/>
        <w:ind w:firstLine="402"/>
        <w:jc w:val="both"/>
      </w:pPr>
      <w:r>
        <w:rPr>
          <w:rFonts w:ascii="仿宋_GB2312" w:hAnsi="仿宋_GB2312" w:cs="仿宋_GB2312" w:eastAsia="仿宋_GB2312"/>
          <w:sz w:val="24"/>
        </w:rPr>
        <w:t>1.2.10.2</w:t>
      </w:r>
      <w:r>
        <w:rPr>
          <w:rFonts w:ascii="仿宋_GB2312" w:hAnsi="仿宋_GB2312" w:cs="仿宋_GB2312" w:eastAsia="仿宋_GB2312"/>
          <w:sz w:val="24"/>
        </w:rPr>
        <w:t>硬件设备要求</w:t>
      </w:r>
    </w:p>
    <w:tbl>
      <w:tblPr>
        <w:tblW w:w="0" w:type="auto"/>
        <w:tblBorders>
          <w:top w:val="none" w:color="000000" w:sz="4"/>
          <w:left w:val="none" w:color="000000" w:sz="4"/>
          <w:bottom w:val="none" w:color="000000" w:sz="4"/>
          <w:right w:val="none" w:color="000000" w:sz="4"/>
          <w:insideH w:val="none"/>
          <w:insideV w:val="none"/>
        </w:tblBorders>
      </w:tblPr>
      <w:tblGrid>
        <w:gridCol w:w="785"/>
        <w:gridCol w:w="1528"/>
        <w:gridCol w:w="4449"/>
        <w:gridCol w:w="771"/>
        <w:gridCol w:w="771"/>
      </w:tblGrid>
      <w:tr>
        <w:tc>
          <w:tcPr>
            <w:tcW w:type="dxa" w:w="785"/>
            <w:tcBorders>
              <w:top w:val="double" w:color="000000" w:sz="8"/>
              <w:left w:val="double" w:color="000000" w:sz="8"/>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序号</w:t>
            </w:r>
          </w:p>
        </w:tc>
        <w:tc>
          <w:tcPr>
            <w:tcW w:type="dxa" w:w="1528"/>
            <w:tcBorders>
              <w:top w:val="double" w:color="000000" w:sz="8"/>
              <w:left w:val="none" w:color="000000" w:sz="4"/>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设备名称</w:t>
            </w:r>
          </w:p>
        </w:tc>
        <w:tc>
          <w:tcPr>
            <w:tcW w:type="dxa" w:w="4449"/>
            <w:tcBorders>
              <w:top w:val="double" w:color="000000" w:sz="8"/>
              <w:left w:val="none" w:color="000000" w:sz="4"/>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主要技术参数要求</w:t>
            </w:r>
          </w:p>
        </w:tc>
        <w:tc>
          <w:tcPr>
            <w:tcW w:type="dxa" w:w="771"/>
            <w:tcBorders>
              <w:top w:val="double" w:color="000000" w:sz="8"/>
              <w:left w:val="none" w:color="000000" w:sz="4"/>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数量</w:t>
            </w:r>
          </w:p>
        </w:tc>
        <w:tc>
          <w:tcPr>
            <w:tcW w:type="dxa" w:w="771"/>
            <w:tcBorders>
              <w:top w:val="double" w:color="000000" w:sz="8"/>
              <w:left w:val="none" w:color="000000" w:sz="4"/>
              <w:bottom w:val="single" w:color="000000" w:sz="4"/>
              <w:right w:val="double" w:color="000000" w:sz="8"/>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单位</w:t>
            </w:r>
          </w:p>
        </w:tc>
      </w:tr>
      <w:tr>
        <w:tc>
          <w:tcPr>
            <w:tcW w:type="dxa" w:w="785"/>
            <w:tcBorders>
              <w:top w:val="none" w:color="000000" w:sz="4"/>
              <w:left w:val="double" w:color="000000" w:sz="8"/>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1</w:t>
            </w:r>
          </w:p>
        </w:tc>
        <w:tc>
          <w:tcPr>
            <w:tcW w:type="dxa" w:w="152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村（居）服务系统服务器</w:t>
            </w:r>
          </w:p>
        </w:tc>
        <w:tc>
          <w:tcPr>
            <w:tcW w:type="dxa" w:w="444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spacing w:before="90" w:after="90"/>
              <w:jc w:val="both"/>
            </w:pPr>
            <w:r>
              <w:rPr>
                <w:rFonts w:ascii="仿宋_GB2312" w:hAnsi="仿宋_GB2312" w:cs="仿宋_GB2312" w:eastAsia="仿宋_GB2312"/>
                <w:sz w:val="24"/>
              </w:rPr>
              <w:t>可长期存储数据，保存所有服务记录，并可实时查看助老员开展活动情况。</w:t>
            </w:r>
          </w:p>
        </w:tc>
        <w:tc>
          <w:tcPr>
            <w:tcW w:type="dxa" w:w="77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1</w:t>
            </w:r>
          </w:p>
        </w:tc>
        <w:tc>
          <w:tcPr>
            <w:tcW w:type="dxa" w:w="771"/>
            <w:tcBorders>
              <w:top w:val="none" w:color="000000" w:sz="4"/>
              <w:left w:val="none" w:color="000000" w:sz="4"/>
              <w:bottom w:val="single" w:color="000000" w:sz="4"/>
              <w:right w:val="double" w:color="000000" w:sz="8"/>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套</w:t>
            </w:r>
          </w:p>
        </w:tc>
      </w:tr>
      <w:tr>
        <w:tc>
          <w:tcPr>
            <w:tcW w:type="dxa" w:w="785"/>
            <w:tcBorders>
              <w:top w:val="none" w:color="000000" w:sz="4"/>
              <w:left w:val="double" w:color="000000" w:sz="8"/>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2</w:t>
            </w:r>
          </w:p>
        </w:tc>
        <w:tc>
          <w:tcPr>
            <w:tcW w:type="dxa" w:w="152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人脸识别终端</w:t>
            </w:r>
          </w:p>
        </w:tc>
        <w:tc>
          <w:tcPr>
            <w:tcW w:type="dxa" w:w="444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spacing w:before="90" w:after="90"/>
              <w:jc w:val="both"/>
            </w:pPr>
            <w:r>
              <w:rPr>
                <w:rFonts w:ascii="仿宋_GB2312" w:hAnsi="仿宋_GB2312" w:cs="仿宋_GB2312" w:eastAsia="仿宋_GB2312"/>
                <w:sz w:val="24"/>
              </w:rPr>
              <w:t>每个服务网点均需采用人脸识别终端进行记录。</w:t>
            </w:r>
          </w:p>
        </w:tc>
        <w:tc>
          <w:tcPr>
            <w:tcW w:type="dxa" w:w="77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视情况</w:t>
            </w:r>
          </w:p>
        </w:tc>
        <w:tc>
          <w:tcPr>
            <w:tcW w:type="dxa" w:w="771"/>
            <w:tcBorders>
              <w:top w:val="none" w:color="000000" w:sz="4"/>
              <w:left w:val="none" w:color="000000" w:sz="4"/>
              <w:bottom w:val="single" w:color="000000" w:sz="4"/>
              <w:right w:val="double" w:color="000000" w:sz="8"/>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套</w:t>
            </w:r>
          </w:p>
        </w:tc>
      </w:tr>
      <w:tr>
        <w:tc>
          <w:tcPr>
            <w:tcW w:type="dxa" w:w="785"/>
            <w:tcBorders>
              <w:top w:val="none" w:color="000000" w:sz="4"/>
              <w:left w:val="double" w:color="000000" w:sz="8"/>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3</w:t>
            </w:r>
          </w:p>
        </w:tc>
        <w:tc>
          <w:tcPr>
            <w:tcW w:type="dxa" w:w="1528"/>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手机客户端</w:t>
            </w:r>
          </w:p>
        </w:tc>
        <w:tc>
          <w:tcPr>
            <w:tcW w:type="dxa" w:w="4449"/>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spacing w:before="90" w:after="90"/>
              <w:jc w:val="both"/>
            </w:pPr>
            <w:r>
              <w:rPr>
                <w:rFonts w:ascii="仿宋_GB2312" w:hAnsi="仿宋_GB2312" w:cs="仿宋_GB2312" w:eastAsia="仿宋_GB2312"/>
                <w:sz w:val="24"/>
              </w:rPr>
              <w:t>所有助老员的上门活动均需用手机客户端进行记录，并可通过后台实时查看工作开展情况。</w:t>
            </w:r>
          </w:p>
        </w:tc>
        <w:tc>
          <w:tcPr>
            <w:tcW w:type="dxa" w:w="771"/>
            <w:tcBorders>
              <w:top w:val="none" w:color="000000" w:sz="4"/>
              <w:left w:val="none" w:color="000000" w:sz="4"/>
              <w:bottom w:val="single" w:color="000000" w:sz="4"/>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1</w:t>
            </w:r>
          </w:p>
        </w:tc>
        <w:tc>
          <w:tcPr>
            <w:tcW w:type="dxa" w:w="771"/>
            <w:tcBorders>
              <w:top w:val="none" w:color="000000" w:sz="4"/>
              <w:left w:val="none" w:color="000000" w:sz="4"/>
              <w:bottom w:val="single" w:color="000000" w:sz="4"/>
              <w:right w:val="double" w:color="000000" w:sz="8"/>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套</w:t>
            </w:r>
          </w:p>
        </w:tc>
      </w:tr>
      <w:tr>
        <w:tc>
          <w:tcPr>
            <w:tcW w:type="dxa" w:w="785"/>
            <w:tcBorders>
              <w:top w:val="none" w:color="000000" w:sz="4"/>
              <w:left w:val="double" w:color="000000" w:sz="8"/>
              <w:bottom w:val="double" w:color="000000" w:sz="8"/>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4</w:t>
            </w:r>
          </w:p>
        </w:tc>
        <w:tc>
          <w:tcPr>
            <w:tcW w:type="dxa" w:w="1528"/>
            <w:tcBorders>
              <w:top w:val="none" w:color="000000" w:sz="4"/>
              <w:left w:val="none" w:color="000000" w:sz="4"/>
              <w:bottom w:val="double" w:color="000000" w:sz="8"/>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服务平台终端</w:t>
            </w:r>
          </w:p>
        </w:tc>
        <w:tc>
          <w:tcPr>
            <w:tcW w:type="dxa" w:w="4449"/>
            <w:tcBorders>
              <w:top w:val="none" w:color="000000" w:sz="4"/>
              <w:left w:val="none" w:color="000000" w:sz="4"/>
              <w:bottom w:val="double" w:color="000000" w:sz="8"/>
              <w:right w:val="single" w:color="000000" w:sz="4"/>
            </w:tcBorders>
            <w:tcMar>
              <w:top w:type="dxa" w:w="0"/>
              <w:left w:type="dxa" w:w="120"/>
              <w:bottom w:type="dxa" w:w="0"/>
              <w:right w:type="dxa" w:w="120"/>
            </w:tcMar>
          </w:tcPr>
          <w:p>
            <w:pPr>
              <w:pStyle w:val="null3"/>
              <w:spacing w:before="90" w:after="90"/>
              <w:jc w:val="both"/>
            </w:pPr>
            <w:r>
              <w:rPr>
                <w:rFonts w:ascii="仿宋_GB2312" w:hAnsi="仿宋_GB2312" w:cs="仿宋_GB2312" w:eastAsia="仿宋_GB2312"/>
                <w:sz w:val="24"/>
              </w:rPr>
              <w:t>可展示各项活动开展情况。可进行一键求援。</w:t>
            </w:r>
          </w:p>
        </w:tc>
        <w:tc>
          <w:tcPr>
            <w:tcW w:type="dxa" w:w="771"/>
            <w:tcBorders>
              <w:top w:val="none" w:color="000000" w:sz="4"/>
              <w:left w:val="none" w:color="000000" w:sz="4"/>
              <w:bottom w:val="double" w:color="000000" w:sz="8"/>
              <w:right w:val="single" w:color="000000" w:sz="4"/>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1</w:t>
            </w:r>
          </w:p>
        </w:tc>
        <w:tc>
          <w:tcPr>
            <w:tcW w:type="dxa" w:w="771"/>
            <w:tcBorders>
              <w:top w:val="none" w:color="000000" w:sz="4"/>
              <w:left w:val="none" w:color="000000" w:sz="4"/>
              <w:bottom w:val="double" w:color="000000" w:sz="8"/>
              <w:right w:val="double" w:color="000000" w:sz="8"/>
            </w:tcBorders>
            <w:tcMar>
              <w:top w:type="dxa" w:w="0"/>
              <w:left w:type="dxa" w:w="120"/>
              <w:bottom w:type="dxa" w:w="0"/>
              <w:right w:type="dxa" w:w="120"/>
            </w:tcMar>
          </w:tcPr>
          <w:p>
            <w:pPr>
              <w:pStyle w:val="null3"/>
              <w:spacing w:before="90" w:after="90"/>
              <w:jc w:val="center"/>
            </w:pPr>
            <w:r>
              <w:rPr>
                <w:rFonts w:ascii="仿宋_GB2312" w:hAnsi="仿宋_GB2312" w:cs="仿宋_GB2312" w:eastAsia="仿宋_GB2312"/>
                <w:sz w:val="24"/>
              </w:rPr>
              <w:t>套</w:t>
            </w:r>
          </w:p>
        </w:tc>
      </w:tr>
    </w:tbl>
    <w:p>
      <w:pPr>
        <w:pStyle w:val="null3"/>
        <w:ind w:firstLine="420"/>
      </w:pPr>
      <w:r>
        <w:rPr>
          <w:rFonts w:ascii="仿宋_GB2312" w:hAnsi="仿宋_GB2312" w:cs="仿宋_GB2312" w:eastAsia="仿宋_GB2312"/>
          <w:sz w:val="24"/>
        </w:rPr>
        <w:t>1.2.11</w:t>
      </w:r>
      <w:r>
        <w:rPr>
          <w:rFonts w:ascii="仿宋_GB2312" w:hAnsi="仿宋_GB2312" w:cs="仿宋_GB2312" w:eastAsia="仿宋_GB2312"/>
          <w:sz w:val="24"/>
        </w:rPr>
        <w:t>其他服务</w:t>
      </w:r>
    </w:p>
    <w:p>
      <w:pPr>
        <w:pStyle w:val="null3"/>
        <w:ind w:firstLine="420"/>
      </w:pPr>
      <w:r>
        <w:rPr>
          <w:rFonts w:ascii="仿宋_GB2312" w:hAnsi="仿宋_GB2312" w:cs="仿宋_GB2312" w:eastAsia="仿宋_GB2312"/>
          <w:sz w:val="24"/>
        </w:rPr>
        <w:t>为村（居）老年人提供全方位服务，涵盖政策、法律、健康与消费咨询，并教授智能化设备使用。特殊时期，代购生活用品、提供心理疏导与防控指导，确保老人安全。通过“一站多点”模式，促进老年人就近参与活动，扩大社交圈。重视安全防范，联合多方力量开展防骗、防盗、防火教育。每年重要节日组织活动，并至少提供6次安全提醒服务，全方位守护老年人幸福晚年，满意度需达90%以上。</w:t>
      </w:r>
    </w:p>
    <w:p>
      <w:pPr>
        <w:pStyle w:val="null3"/>
        <w:ind w:firstLine="420"/>
      </w:pPr>
      <w:r>
        <w:rPr>
          <w:rFonts w:ascii="仿宋_GB2312" w:hAnsi="仿宋_GB2312" w:cs="仿宋_GB2312" w:eastAsia="仿宋_GB2312"/>
          <w:sz w:val="24"/>
        </w:rPr>
        <w:t>（1）为村（居）老年人提供养老政策咨询，链接协调相关资源为老年人提供政策咨询、法律咨询、健康咨询、消费咨询等服务。</w:t>
      </w:r>
    </w:p>
    <w:p>
      <w:pPr>
        <w:pStyle w:val="null3"/>
        <w:ind w:firstLine="420"/>
      </w:pPr>
      <w:r>
        <w:rPr>
          <w:rFonts w:ascii="仿宋_GB2312" w:hAnsi="仿宋_GB2312" w:cs="仿宋_GB2312" w:eastAsia="仿宋_GB2312"/>
          <w:sz w:val="24"/>
        </w:rPr>
        <w:t>（2）指导老年人如何使用现代智能化设备（如微信、微博、QQ、邮箱、打字等）。</w:t>
      </w:r>
    </w:p>
    <w:p>
      <w:pPr>
        <w:pStyle w:val="null3"/>
        <w:ind w:firstLine="420"/>
      </w:pPr>
      <w:r>
        <w:rPr>
          <w:rFonts w:ascii="仿宋_GB2312" w:hAnsi="仿宋_GB2312" w:cs="仿宋_GB2312" w:eastAsia="仿宋_GB2312"/>
          <w:sz w:val="24"/>
        </w:rPr>
        <w:t>（3）特殊时期（如：自然灾害、疫情）为老年人提供生活用品代购、心理疏导、防控知识宣导、上门消杀等服务。</w:t>
      </w:r>
    </w:p>
    <w:p>
      <w:pPr>
        <w:pStyle w:val="null3"/>
        <w:ind w:firstLine="420"/>
      </w:pPr>
      <w:r>
        <w:rPr>
          <w:rFonts w:ascii="仿宋_GB2312" w:hAnsi="仿宋_GB2312" w:cs="仿宋_GB2312" w:eastAsia="仿宋_GB2312"/>
          <w:sz w:val="24"/>
        </w:rPr>
        <w:t>（4）为有需求的老年人免费提供紧急救援通讯设备和居家养老紧急事件应急助援服务。依托养老服务热线3500011及智能化设备，为全区老年人提供全年每天24小时的主动关怀和联动救助服务。</w:t>
      </w:r>
    </w:p>
    <w:p>
      <w:pPr>
        <w:pStyle w:val="null3"/>
        <w:ind w:firstLine="420"/>
      </w:pPr>
      <w:r>
        <w:rPr>
          <w:rFonts w:ascii="仿宋_GB2312" w:hAnsi="仿宋_GB2312" w:cs="仿宋_GB2312" w:eastAsia="仿宋_GB2312"/>
          <w:sz w:val="24"/>
        </w:rPr>
        <w:t>（5）整合村（居）资源，打造“一站多点”活动模式，组织不同小组或网格的老年人就近开展活动，扩大活动的老年人参与面。</w:t>
      </w:r>
    </w:p>
    <w:p>
      <w:pPr>
        <w:pStyle w:val="null3"/>
        <w:ind w:firstLine="420"/>
      </w:pPr>
      <w:r>
        <w:rPr>
          <w:rFonts w:ascii="仿宋_GB2312" w:hAnsi="仿宋_GB2312" w:cs="仿宋_GB2312" w:eastAsia="仿宋_GB2312"/>
          <w:sz w:val="24"/>
        </w:rPr>
        <w:t>（6）安全防范提醒服务。应为老年人提供安全防范提醒服务，通过公益广告、入户宣教、短信告知等方式进行安全防范提醒。可联合金融机构、公安机关、司法行政部门、消防部门、市场监管部门等单位，开展防诈骗、防盗、防火等方面的安全知识讲座、应急演练观摩等活动。</w:t>
      </w:r>
    </w:p>
    <w:p>
      <w:pPr>
        <w:pStyle w:val="null3"/>
        <w:ind w:firstLine="420"/>
      </w:pPr>
      <w:r>
        <w:rPr>
          <w:rFonts w:ascii="仿宋_GB2312" w:hAnsi="仿宋_GB2312" w:cs="仿宋_GB2312" w:eastAsia="仿宋_GB2312"/>
          <w:sz w:val="24"/>
        </w:rPr>
        <w:t>服务标准：</w:t>
      </w:r>
    </w:p>
    <w:p>
      <w:pPr>
        <w:pStyle w:val="null3"/>
        <w:ind w:firstLine="420"/>
      </w:pPr>
      <w:r>
        <w:rPr>
          <w:rFonts w:ascii="仿宋_GB2312" w:hAnsi="仿宋_GB2312" w:cs="仿宋_GB2312" w:eastAsia="仿宋_GB2312"/>
          <w:sz w:val="24"/>
        </w:rPr>
        <w:t>（1）工作流程及要求应严格按照DB3502/T 090—2022《居家养老紧急事件应急助援规范》标准开展服务。</w:t>
      </w:r>
    </w:p>
    <w:p>
      <w:pPr>
        <w:pStyle w:val="null3"/>
        <w:ind w:firstLine="420"/>
      </w:pPr>
      <w:r>
        <w:rPr>
          <w:rFonts w:ascii="仿宋_GB2312" w:hAnsi="仿宋_GB2312" w:cs="仿宋_GB2312" w:eastAsia="仿宋_GB2312"/>
          <w:sz w:val="24"/>
        </w:rPr>
        <w:t>（2）注意收集老年人相关政策法规，使老年人咨询需求及时得到帮助。</w:t>
      </w:r>
    </w:p>
    <w:p>
      <w:pPr>
        <w:pStyle w:val="null3"/>
        <w:ind w:firstLine="420"/>
      </w:pPr>
      <w:r>
        <w:rPr>
          <w:rFonts w:ascii="仿宋_GB2312" w:hAnsi="仿宋_GB2312" w:cs="仿宋_GB2312" w:eastAsia="仿宋_GB2312"/>
          <w:sz w:val="24"/>
        </w:rPr>
        <w:t>（3）老年人咨询服务满意度达到90%及以上。</w:t>
      </w:r>
    </w:p>
    <w:p>
      <w:pPr>
        <w:pStyle w:val="null3"/>
        <w:ind w:firstLine="420"/>
      </w:pPr>
      <w:r>
        <w:rPr>
          <w:rFonts w:ascii="仿宋_GB2312" w:hAnsi="仿宋_GB2312" w:cs="仿宋_GB2312" w:eastAsia="仿宋_GB2312"/>
          <w:sz w:val="24"/>
        </w:rPr>
        <w:t>（4）“一站多点”的场所由各镇街协调村（居）负责活动场所的安排，各运营机构配合。每年重要节假日应在各个分点上组织活动。</w:t>
      </w:r>
    </w:p>
    <w:p>
      <w:pPr>
        <w:pStyle w:val="null3"/>
        <w:ind w:firstLine="420"/>
      </w:pPr>
      <w:r>
        <w:rPr>
          <w:rFonts w:ascii="仿宋_GB2312" w:hAnsi="仿宋_GB2312" w:cs="仿宋_GB2312" w:eastAsia="仿宋_GB2312"/>
          <w:sz w:val="24"/>
        </w:rPr>
        <w:t>（5）每年至少提供6次老年人安全防范提醒服务。</w:t>
      </w:r>
    </w:p>
    <w:p>
      <w:pPr>
        <w:pStyle w:val="null3"/>
        <w:ind w:firstLine="420"/>
      </w:pPr>
      <w:r>
        <w:rPr>
          <w:rFonts w:ascii="仿宋_GB2312" w:hAnsi="仿宋_GB2312" w:cs="仿宋_GB2312" w:eastAsia="仿宋_GB2312"/>
          <w:sz w:val="24"/>
        </w:rPr>
        <w:t xml:space="preserve">1.2.12 </w:t>
      </w:r>
      <w:r>
        <w:rPr>
          <w:rFonts w:ascii="仿宋_GB2312" w:hAnsi="仿宋_GB2312" w:cs="仿宋_GB2312" w:eastAsia="仿宋_GB2312"/>
          <w:sz w:val="24"/>
        </w:rPr>
        <w:t>其他要求</w:t>
      </w:r>
    </w:p>
    <w:p>
      <w:pPr>
        <w:pStyle w:val="null3"/>
        <w:ind w:firstLine="420"/>
      </w:pPr>
      <w:r>
        <w:rPr>
          <w:rFonts w:ascii="仿宋_GB2312" w:hAnsi="仿宋_GB2312" w:cs="仿宋_GB2312" w:eastAsia="仿宋_GB2312"/>
          <w:sz w:val="24"/>
        </w:rPr>
        <w:t>中标人开展居家养老服务工作的同时也承接辖区内其他涉及居家养老服务类型工作的，应按照相关要求做好人员、服务和经费的区分处理，助老员不得从事非本项目的工作。若出现承接机构弄虚作假、非法获利的，应对其扣减相应评估分值，若屡教不改的及时解除合同并记入诚信档案并按有关规定进行处理。</w:t>
      </w:r>
    </w:p>
    <w:p>
      <w:pPr>
        <w:pStyle w:val="null3"/>
        <w:ind w:firstLine="420"/>
      </w:pPr>
      <w:r>
        <w:rPr>
          <w:rFonts w:ascii="仿宋_GB2312" w:hAnsi="仿宋_GB2312" w:cs="仿宋_GB2312" w:eastAsia="仿宋_GB2312"/>
          <w:sz w:val="24"/>
        </w:rPr>
        <w:t>1.3</w:t>
      </w:r>
      <w:r>
        <w:rPr>
          <w:rFonts w:ascii="仿宋_GB2312" w:hAnsi="仿宋_GB2312" w:cs="仿宋_GB2312" w:eastAsia="仿宋_GB2312"/>
          <w:sz w:val="24"/>
        </w:rPr>
        <w:t>服务人员（履行为老服务岗位的人员，简称助老员，下同）相关要求</w:t>
      </w:r>
    </w:p>
    <w:p>
      <w:pPr>
        <w:pStyle w:val="null3"/>
        <w:ind w:firstLine="420"/>
      </w:pPr>
      <w:r>
        <w:rPr>
          <w:rFonts w:ascii="仿宋_GB2312" w:hAnsi="仿宋_GB2312" w:cs="仿宋_GB2312" w:eastAsia="仿宋_GB2312"/>
          <w:sz w:val="24"/>
        </w:rPr>
        <w:t>1.3.1</w:t>
      </w:r>
      <w:r>
        <w:rPr>
          <w:rFonts w:ascii="仿宋_GB2312" w:hAnsi="仿宋_GB2312" w:cs="仿宋_GB2312" w:eastAsia="仿宋_GB2312"/>
          <w:sz w:val="24"/>
        </w:rPr>
        <w:t>人数要求</w:t>
      </w:r>
    </w:p>
    <w:p>
      <w:pPr>
        <w:pStyle w:val="null3"/>
        <w:spacing w:before="90" w:after="90"/>
        <w:ind w:firstLine="402"/>
      </w:pPr>
      <w:r>
        <w:rPr>
          <w:rFonts w:ascii="仿宋_GB2312" w:hAnsi="仿宋_GB2312" w:cs="仿宋_GB2312" w:eastAsia="仿宋_GB2312"/>
          <w:sz w:val="24"/>
        </w:rPr>
        <w:t>自合同签订之日起的10日内，中标人为每个居家养老服务站至少派驻2名助老员（需满足①1名持有社工证②1名具有大专以上学历），超过1000名老人的至少增加1名助老员。助老员由中标人派遣入驻村（居）提供服务，工资待遇由中标人负责统筹发放。投标人须根据网点信息表中各村（居）户籍老人人数，配备足额服务人员人数，但所配备服务人员人数不设上限（投标人可根据自身响应情况增加）。</w:t>
      </w:r>
    </w:p>
    <w:p>
      <w:pPr>
        <w:pStyle w:val="null3"/>
        <w:ind w:firstLine="420"/>
      </w:pPr>
      <w:r>
        <w:rPr>
          <w:rFonts w:ascii="仿宋_GB2312" w:hAnsi="仿宋_GB2312" w:cs="仿宋_GB2312" w:eastAsia="仿宋_GB2312"/>
          <w:sz w:val="24"/>
        </w:rPr>
        <w:t>1.3.2</w:t>
      </w:r>
      <w:r>
        <w:rPr>
          <w:rFonts w:ascii="仿宋_GB2312" w:hAnsi="仿宋_GB2312" w:cs="仿宋_GB2312" w:eastAsia="仿宋_GB2312"/>
          <w:sz w:val="24"/>
        </w:rPr>
        <w:t>人员要求</w:t>
      </w:r>
    </w:p>
    <w:p>
      <w:pPr>
        <w:pStyle w:val="null3"/>
        <w:ind w:firstLine="420"/>
      </w:pPr>
      <w:r>
        <w:rPr>
          <w:rFonts w:ascii="仿宋_GB2312" w:hAnsi="仿宋_GB2312" w:cs="仿宋_GB2312" w:eastAsia="仿宋_GB2312"/>
          <w:sz w:val="24"/>
        </w:rPr>
        <w:t>1.3.2.1</w:t>
      </w:r>
      <w:r>
        <w:rPr>
          <w:rFonts w:ascii="仿宋_GB2312" w:hAnsi="仿宋_GB2312" w:cs="仿宋_GB2312" w:eastAsia="仿宋_GB2312"/>
          <w:sz w:val="24"/>
        </w:rPr>
        <w:t>优先聘用要求：中标人派驻村（居）的助老员应优先从原村（居）符合资质要求的助老员中选聘。</w:t>
      </w:r>
    </w:p>
    <w:p>
      <w:pPr>
        <w:pStyle w:val="null3"/>
        <w:ind w:firstLine="420"/>
      </w:pPr>
      <w:r>
        <w:rPr>
          <w:rFonts w:ascii="仿宋_GB2312" w:hAnsi="仿宋_GB2312" w:cs="仿宋_GB2312" w:eastAsia="仿宋_GB2312"/>
          <w:sz w:val="24"/>
        </w:rPr>
        <w:t>1.3.2.2</w:t>
      </w:r>
      <w:r>
        <w:rPr>
          <w:rFonts w:ascii="仿宋_GB2312" w:hAnsi="仿宋_GB2312" w:cs="仿宋_GB2312" w:eastAsia="仿宋_GB2312"/>
          <w:sz w:val="24"/>
        </w:rPr>
        <w:t>助老员要求：具有高中或中专（含）以上学历，或者具备国家承认和社会工作专科及以上学历，或者取得国家颁发的社会工作者职业水平证书，或者参加过老年服务与管理有关机构的正式培训并取得证书者</w:t>
      </w:r>
      <w:r>
        <w:rPr>
          <w:rFonts w:ascii="仿宋_GB2312" w:hAnsi="仿宋_GB2312" w:cs="仿宋_GB2312" w:eastAsia="仿宋_GB2312"/>
          <w:sz w:val="24"/>
        </w:rPr>
        <w:t>，</w:t>
      </w:r>
      <w:r>
        <w:rPr>
          <w:rFonts w:ascii="仿宋_GB2312" w:hAnsi="仿宋_GB2312" w:cs="仿宋_GB2312" w:eastAsia="仿宋_GB2312"/>
          <w:sz w:val="24"/>
        </w:rPr>
        <w:t>身体健康，男生年龄在55周岁（含）以下，女生年龄在50周岁（含）以下，热爱老龄工作，有良好的组织、沟通、协调能力，本地人居多的村（居）要配备熟悉闽南语的助老员，需提供人员花名册。</w:t>
      </w:r>
    </w:p>
    <w:p>
      <w:pPr>
        <w:pStyle w:val="null3"/>
        <w:ind w:firstLine="420"/>
      </w:pPr>
      <w:r>
        <w:rPr>
          <w:rFonts w:ascii="仿宋_GB2312" w:hAnsi="仿宋_GB2312" w:cs="仿宋_GB2312" w:eastAsia="仿宋_GB2312"/>
          <w:sz w:val="24"/>
        </w:rPr>
        <w:t>1.3.2.3</w:t>
      </w:r>
      <w:r>
        <w:rPr>
          <w:rFonts w:ascii="仿宋_GB2312" w:hAnsi="仿宋_GB2312" w:cs="仿宋_GB2312" w:eastAsia="仿宋_GB2312"/>
          <w:sz w:val="24"/>
        </w:rPr>
        <w:t>项目负责人</w:t>
      </w:r>
      <w:r>
        <w:rPr>
          <w:rFonts w:ascii="仿宋_GB2312" w:hAnsi="仿宋_GB2312" w:cs="仿宋_GB2312" w:eastAsia="仿宋_GB2312"/>
          <w:sz w:val="24"/>
          <w:color w:val="000000"/>
        </w:rPr>
        <w:t>要求：具有社工证等本项目服务相关证书，项目管理团队组成员（不含项目负责人）具有大专及以上学历，并取得与本项目服务相关证书。</w:t>
      </w:r>
    </w:p>
    <w:p>
      <w:pPr>
        <w:pStyle w:val="null3"/>
        <w:ind w:firstLine="420"/>
      </w:pPr>
      <w:r>
        <w:rPr>
          <w:rFonts w:ascii="仿宋_GB2312" w:hAnsi="仿宋_GB2312" w:cs="仿宋_GB2312" w:eastAsia="仿宋_GB2312"/>
          <w:sz w:val="24"/>
        </w:rPr>
        <w:t>1.3.2.4</w:t>
      </w:r>
      <w:r>
        <w:rPr>
          <w:rFonts w:ascii="仿宋_GB2312" w:hAnsi="仿宋_GB2312" w:cs="仿宋_GB2312" w:eastAsia="仿宋_GB2312"/>
          <w:sz w:val="24"/>
        </w:rPr>
        <w:t>投标人投标响应拟投入本项目的项目负责人与中标后到位的项目负责人须一致，若出现人员离职或调动，中标人必须在7个工作日内补齐空缺岗位人员，否则采购人有权按照出现空档期间扣除相应天数服务费用。</w:t>
      </w:r>
    </w:p>
    <w:p>
      <w:pPr>
        <w:pStyle w:val="null3"/>
        <w:ind w:firstLine="420"/>
      </w:pPr>
      <w:r>
        <w:rPr>
          <w:rFonts w:ascii="仿宋_GB2312" w:hAnsi="仿宋_GB2312" w:cs="仿宋_GB2312" w:eastAsia="仿宋_GB2312"/>
          <w:sz w:val="24"/>
        </w:rPr>
        <w:t>1.3.2.5</w:t>
      </w:r>
      <w:r>
        <w:rPr>
          <w:rFonts w:ascii="仿宋_GB2312" w:hAnsi="仿宋_GB2312" w:cs="仿宋_GB2312" w:eastAsia="仿宋_GB2312"/>
          <w:sz w:val="24"/>
        </w:rPr>
        <w:t>助老员试用期1个月，试用期内助老员无法胜任工作的，相关镇（街）及项目所在村（居）有权要求中标人更换另一名助老员到村（居）开展服务工作。</w:t>
      </w:r>
    </w:p>
    <w:p>
      <w:pPr>
        <w:pStyle w:val="null3"/>
        <w:ind w:firstLine="420"/>
      </w:pPr>
      <w:r>
        <w:rPr>
          <w:rFonts w:ascii="仿宋_GB2312" w:hAnsi="仿宋_GB2312" w:cs="仿宋_GB2312" w:eastAsia="仿宋_GB2312"/>
          <w:sz w:val="24"/>
        </w:rPr>
        <w:t>1.3.2.6</w:t>
      </w:r>
      <w:r>
        <w:rPr>
          <w:rFonts w:ascii="仿宋_GB2312" w:hAnsi="仿宋_GB2312" w:cs="仿宋_GB2312" w:eastAsia="仿宋_GB2312"/>
          <w:sz w:val="24"/>
        </w:rPr>
        <w:t>中标人要对助老员进行岗前培训，并在项目实施期间每月进行岗中培训，每季度为村（居）助老员提供相关技能类培训，不断提升助老员服务水平。</w:t>
      </w:r>
    </w:p>
    <w:p>
      <w:pPr>
        <w:pStyle w:val="null3"/>
        <w:ind w:firstLine="420"/>
      </w:pPr>
      <w:r>
        <w:rPr>
          <w:rFonts w:ascii="仿宋_GB2312" w:hAnsi="仿宋_GB2312" w:cs="仿宋_GB2312" w:eastAsia="仿宋_GB2312"/>
          <w:sz w:val="24"/>
        </w:rPr>
        <w:t>1.3.2.7</w:t>
      </w:r>
      <w:r>
        <w:rPr>
          <w:rFonts w:ascii="仿宋_GB2312" w:hAnsi="仿宋_GB2312" w:cs="仿宋_GB2312" w:eastAsia="仿宋_GB2312"/>
          <w:sz w:val="24"/>
        </w:rPr>
        <w:t>中标人要与助老员建立劳动关系，订立和履行劳动合同，并按厦门市民政局、厦门市财政局、厦门市人力资源和社会保障局《关于印发厦门市政府购买社会工作服务操作规程》（厦民〔2017〕278号）的相关规定，按时支付其薪酬和福利。</w:t>
      </w:r>
    </w:p>
    <w:p>
      <w:pPr>
        <w:pStyle w:val="null3"/>
        <w:ind w:firstLine="482"/>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服务响应要求</w:t>
      </w:r>
    </w:p>
    <w:p>
      <w:pPr>
        <w:pStyle w:val="null3"/>
        <w:ind w:firstLine="480"/>
      </w:pPr>
      <w:r>
        <w:rPr>
          <w:rFonts w:ascii="仿宋_GB2312" w:hAnsi="仿宋_GB2312" w:cs="仿宋_GB2312" w:eastAsia="仿宋_GB2312"/>
          <w:sz w:val="24"/>
          <w:color w:val="000000"/>
        </w:rPr>
        <w:t xml:space="preserve">2.1 </w:t>
      </w:r>
      <w:r>
        <w:rPr>
          <w:rFonts w:ascii="仿宋_GB2312" w:hAnsi="仿宋_GB2312" w:cs="仿宋_GB2312" w:eastAsia="仿宋_GB2312"/>
          <w:sz w:val="24"/>
          <w:color w:val="000000"/>
        </w:rPr>
        <w:t>以上所有服务内容及要求均为基本要求，各投标人可提出更优的服务条款。</w:t>
      </w:r>
    </w:p>
    <w:p>
      <w:pPr>
        <w:pStyle w:val="null3"/>
        <w:ind w:firstLine="480"/>
      </w:pPr>
      <w:r>
        <w:rPr>
          <w:rFonts w:ascii="仿宋_GB2312" w:hAnsi="仿宋_GB2312" w:cs="仿宋_GB2312" w:eastAsia="仿宋_GB2312"/>
          <w:sz w:val="24"/>
          <w:shd w:fill="FFFFFF" w:val="clear"/>
        </w:rPr>
        <w:t>2.2</w:t>
      </w:r>
      <w:r>
        <w:rPr>
          <w:rFonts w:ascii="仿宋_GB2312" w:hAnsi="仿宋_GB2312" w:cs="仿宋_GB2312" w:eastAsia="仿宋_GB2312"/>
          <w:sz w:val="24"/>
          <w:shd w:fill="FFFFFF" w:val="clear"/>
        </w:rPr>
        <w:t>投标人所提供的服务内容、业务流程、执行标准及规范等必须符合国家相关法律、法规、行业标准或规范的要求。</w:t>
      </w:r>
    </w:p>
    <w:p>
      <w:pPr>
        <w:pStyle w:val="null3"/>
        <w:ind w:firstLine="480"/>
      </w:pPr>
      <w:r>
        <w:rPr>
          <w:rFonts w:ascii="仿宋_GB2312" w:hAnsi="仿宋_GB2312" w:cs="仿宋_GB2312" w:eastAsia="仿宋_GB2312"/>
          <w:sz w:val="24"/>
          <w:shd w:fill="FFFFFF" w:val="clear"/>
        </w:rPr>
        <w:t>2.3</w:t>
      </w:r>
      <w:r>
        <w:rPr>
          <w:rFonts w:ascii="仿宋_GB2312" w:hAnsi="仿宋_GB2312" w:cs="仿宋_GB2312" w:eastAsia="仿宋_GB2312"/>
          <w:sz w:val="24"/>
          <w:shd w:fill="FFFFFF" w:val="clear"/>
        </w:rPr>
        <w:t>人员配置与更换要求：投标人应根据采购要求，提出合理、可操作的人员构成方案，应在采购文件中详细说明管理体系和专业人员的构成、数量以及投入本项目的人员构成。投标人还需配备一定数量的机动人员，以确保项目的正常开展。</w:t>
      </w:r>
    </w:p>
    <w:p>
      <w:pPr>
        <w:pStyle w:val="null3"/>
        <w:ind w:firstLine="480"/>
      </w:pPr>
      <w:r>
        <w:rPr>
          <w:rFonts w:ascii="仿宋_GB2312" w:hAnsi="仿宋_GB2312" w:cs="仿宋_GB2312" w:eastAsia="仿宋_GB2312"/>
          <w:sz w:val="24"/>
          <w:shd w:fill="FFFFFF" w:val="clear"/>
        </w:rPr>
        <w:t>2.4</w:t>
      </w:r>
      <w:r>
        <w:rPr>
          <w:rFonts w:ascii="仿宋_GB2312" w:hAnsi="仿宋_GB2312" w:cs="仿宋_GB2312" w:eastAsia="仿宋_GB2312"/>
          <w:sz w:val="24"/>
          <w:shd w:fill="FFFFFF" w:val="clear"/>
        </w:rPr>
        <w:t>投标人应根据本项目的特点及要求，提供详尽可行的工作服务方案。中标人针对本项目提供的服务方案应经采购人确认，若采购人对服务方案进行调整、修改，中标人应无条件配合，待采购人确认无误后方可进场服务。</w:t>
      </w:r>
    </w:p>
    <w:p>
      <w:pPr>
        <w:pStyle w:val="null3"/>
        <w:ind w:firstLine="480"/>
      </w:pPr>
      <w:r>
        <w:rPr>
          <w:rFonts w:ascii="仿宋_GB2312" w:hAnsi="仿宋_GB2312" w:cs="仿宋_GB2312" w:eastAsia="仿宋_GB2312"/>
          <w:sz w:val="24"/>
          <w:shd w:fill="FFFFFF" w:val="clear"/>
        </w:rPr>
        <w:t>2.5</w:t>
      </w:r>
      <w:r>
        <w:rPr>
          <w:rFonts w:ascii="仿宋_GB2312" w:hAnsi="仿宋_GB2312" w:cs="仿宋_GB2312" w:eastAsia="仿宋_GB2312"/>
          <w:sz w:val="24"/>
          <w:shd w:fill="FFFFFF" w:val="clear"/>
        </w:rPr>
        <w:t>采购文件中所述的服务项目的内容及标准，应视为保证项目运行所需的最低要求。</w:t>
      </w:r>
    </w:p>
    <w:p>
      <w:pPr>
        <w:pStyle w:val="null3"/>
        <w:ind w:firstLine="480"/>
      </w:pPr>
      <w:r>
        <w:rPr>
          <w:rFonts w:ascii="仿宋_GB2312" w:hAnsi="仿宋_GB2312" w:cs="仿宋_GB2312" w:eastAsia="仿宋_GB2312"/>
          <w:sz w:val="24"/>
          <w:shd w:fill="FFFFFF" w:val="clear"/>
        </w:rPr>
        <w:t>2.6</w:t>
      </w:r>
      <w:r>
        <w:rPr>
          <w:rFonts w:ascii="仿宋_GB2312" w:hAnsi="仿宋_GB2312" w:cs="仿宋_GB2312" w:eastAsia="仿宋_GB2312"/>
          <w:sz w:val="24"/>
          <w:shd w:fill="FFFFFF" w:val="clear"/>
        </w:rPr>
        <w:t>采购人保留面试人员的权利。中标人在人员配全后，应按采购人提出的时限要求向采购人提供人员花名册及其他采购人要求配合提供的资料（若有）。</w:t>
      </w:r>
    </w:p>
    <w:p>
      <w:pPr>
        <w:pStyle w:val="null3"/>
        <w:ind w:firstLine="480"/>
      </w:pPr>
      <w:r>
        <w:rPr>
          <w:rFonts w:ascii="仿宋_GB2312" w:hAnsi="仿宋_GB2312" w:cs="仿宋_GB2312" w:eastAsia="仿宋_GB2312"/>
          <w:sz w:val="24"/>
          <w:shd w:fill="FFFFFF" w:val="clear"/>
        </w:rPr>
        <w:t>2.7</w:t>
      </w:r>
      <w:r>
        <w:rPr>
          <w:rFonts w:ascii="仿宋_GB2312" w:hAnsi="仿宋_GB2312" w:cs="仿宋_GB2312" w:eastAsia="仿宋_GB2312"/>
          <w:sz w:val="24"/>
          <w:shd w:fill="FFFFFF" w:val="clear"/>
        </w:rPr>
        <w:t>村（居）助老员须为投标人本单位员工，在本单位缴纳社保。</w:t>
      </w:r>
    </w:p>
    <w:p>
      <w:pPr>
        <w:pStyle w:val="null3"/>
        <w:ind w:firstLine="480"/>
      </w:pPr>
      <w:r>
        <w:rPr>
          <w:rFonts w:ascii="仿宋_GB2312" w:hAnsi="仿宋_GB2312" w:cs="仿宋_GB2312" w:eastAsia="仿宋_GB2312"/>
          <w:sz w:val="24"/>
          <w:shd w:fill="FFFFFF" w:val="clear"/>
        </w:rPr>
        <w:t>2.8</w:t>
      </w:r>
      <w:r>
        <w:rPr>
          <w:rFonts w:ascii="仿宋_GB2312" w:hAnsi="仿宋_GB2312" w:cs="仿宋_GB2312" w:eastAsia="仿宋_GB2312"/>
          <w:sz w:val="24"/>
          <w:shd w:fill="FFFFFF" w:val="clear"/>
        </w:rPr>
        <w:t>各村（居）服务人员应尽可能人人持证上岗，人员岗位应基本固定，不得无故随意更换。同一人员不得兼任多个村（居），如中标人一方主动提出换人员，则应提前30天向采购人提出申请，经同意后方可更换。被更换人员的资格和能力水平不得低于原服务人员。</w:t>
      </w:r>
    </w:p>
    <w:p>
      <w:pPr>
        <w:pStyle w:val="null3"/>
        <w:ind w:firstLine="480"/>
      </w:pPr>
      <w:r>
        <w:rPr>
          <w:rFonts w:ascii="仿宋_GB2312" w:hAnsi="仿宋_GB2312" w:cs="仿宋_GB2312" w:eastAsia="仿宋_GB2312"/>
          <w:sz w:val="24"/>
          <w:shd w:fill="FFFFFF" w:val="clear"/>
        </w:rPr>
        <w:t>2.9</w:t>
      </w:r>
      <w:r>
        <w:rPr>
          <w:rFonts w:ascii="仿宋_GB2312" w:hAnsi="仿宋_GB2312" w:cs="仿宋_GB2312" w:eastAsia="仿宋_GB2312"/>
          <w:sz w:val="24"/>
          <w:shd w:fill="FFFFFF" w:val="clear"/>
        </w:rPr>
        <w:t>投标人应制定内部奖惩机制，对于服务质量受到老人、村（居）或采购人认可的员工，应予以奖励。</w:t>
      </w:r>
    </w:p>
    <w:p>
      <w:pPr>
        <w:pStyle w:val="null3"/>
        <w:ind w:firstLine="480"/>
      </w:pPr>
      <w:r>
        <w:rPr>
          <w:rFonts w:ascii="仿宋_GB2312" w:hAnsi="仿宋_GB2312" w:cs="仿宋_GB2312" w:eastAsia="仿宋_GB2312"/>
          <w:sz w:val="24"/>
          <w:shd w:fill="FFFFFF" w:val="clear"/>
        </w:rPr>
        <w:t>2.10</w:t>
      </w:r>
      <w:r>
        <w:rPr>
          <w:rFonts w:ascii="仿宋_GB2312" w:hAnsi="仿宋_GB2312" w:cs="仿宋_GB2312" w:eastAsia="仿宋_GB2312"/>
          <w:sz w:val="24"/>
          <w:shd w:fill="FFFFFF" w:val="clear"/>
        </w:rPr>
        <w:t>投标人必须提供服务、履约能力等基本情况的说明，以及能够证明其有能力承担本项目的相关证书以及应用于本项目的服务人员的相关资格证书。</w:t>
      </w:r>
    </w:p>
    <w:p>
      <w:pPr>
        <w:pStyle w:val="null3"/>
        <w:ind w:firstLine="480"/>
      </w:pPr>
      <w:r>
        <w:rPr>
          <w:rFonts w:ascii="仿宋_GB2312" w:hAnsi="仿宋_GB2312" w:cs="仿宋_GB2312" w:eastAsia="仿宋_GB2312"/>
          <w:sz w:val="24"/>
          <w:shd w:fill="FFFFFF" w:val="clear"/>
        </w:rPr>
        <w:t>2.11</w:t>
      </w:r>
      <w:r>
        <w:rPr>
          <w:rFonts w:ascii="仿宋_GB2312" w:hAnsi="仿宋_GB2312" w:cs="仿宋_GB2312" w:eastAsia="仿宋_GB2312"/>
          <w:sz w:val="24"/>
          <w:shd w:fill="FFFFFF" w:val="clear"/>
        </w:rPr>
        <w:t>投标人或其下属的在经民政部门注册的社会组织应具备拥有养老信息化平台数据采集录入功能。</w:t>
      </w:r>
    </w:p>
    <w:p>
      <w:pPr>
        <w:pStyle w:val="null3"/>
        <w:ind w:firstLine="480"/>
      </w:pPr>
      <w:r>
        <w:rPr>
          <w:rFonts w:ascii="仿宋_GB2312" w:hAnsi="仿宋_GB2312" w:cs="仿宋_GB2312" w:eastAsia="仿宋_GB2312"/>
          <w:sz w:val="24"/>
          <w:shd w:fill="FFFFFF" w:val="clear"/>
        </w:rPr>
        <w:t>2.12</w:t>
      </w:r>
      <w:r>
        <w:rPr>
          <w:rFonts w:ascii="仿宋_GB2312" w:hAnsi="仿宋_GB2312" w:cs="仿宋_GB2312" w:eastAsia="仿宋_GB2312"/>
          <w:sz w:val="24"/>
          <w:shd w:fill="FFFFFF" w:val="clear"/>
        </w:rPr>
        <w:t>中标人应能定期组织培训班，对从业人员的专业服务能力进行培训。采购人保留参与旁听培训过程和提出指导意见的权利。</w:t>
      </w:r>
    </w:p>
    <w:p>
      <w:pPr>
        <w:pStyle w:val="null3"/>
        <w:ind w:firstLine="480"/>
      </w:pPr>
      <w:r>
        <w:rPr>
          <w:rFonts w:ascii="仿宋_GB2312" w:hAnsi="仿宋_GB2312" w:cs="仿宋_GB2312" w:eastAsia="仿宋_GB2312"/>
          <w:sz w:val="24"/>
          <w:shd w:fill="FFFFFF" w:val="clear"/>
        </w:rPr>
        <w:t>2.13</w:t>
      </w:r>
      <w:r>
        <w:rPr>
          <w:rFonts w:ascii="仿宋_GB2312" w:hAnsi="仿宋_GB2312" w:cs="仿宋_GB2312" w:eastAsia="仿宋_GB2312"/>
          <w:sz w:val="24"/>
          <w:shd w:fill="FFFFFF" w:val="clear"/>
        </w:rPr>
        <w:t>投标人若中标，本项目服务过程中所建立的档案资料均归采购人所有。</w:t>
      </w:r>
    </w:p>
    <w:p>
      <w:pPr>
        <w:pStyle w:val="null3"/>
        <w:ind w:firstLine="480"/>
      </w:pPr>
      <w:r>
        <w:rPr>
          <w:rFonts w:ascii="仿宋_GB2312" w:hAnsi="仿宋_GB2312" w:cs="仿宋_GB2312" w:eastAsia="仿宋_GB2312"/>
          <w:sz w:val="24"/>
          <w:shd w:fill="FFFFFF" w:val="clear"/>
        </w:rPr>
        <w:t>2.14</w:t>
      </w:r>
      <w:r>
        <w:rPr>
          <w:rFonts w:ascii="仿宋_GB2312" w:hAnsi="仿宋_GB2312" w:cs="仿宋_GB2312" w:eastAsia="仿宋_GB2312"/>
          <w:sz w:val="24"/>
          <w:shd w:fill="FFFFFF" w:val="clear"/>
        </w:rPr>
        <w:t>投标人应提供养老服务设施专业化运营服务大纲，提供大纲包括但不限于目标定位、服务宗旨和服务理念方案等内容。</w:t>
      </w:r>
    </w:p>
    <w:p>
      <w:pPr>
        <w:pStyle w:val="null3"/>
        <w:ind w:firstLine="480"/>
      </w:pPr>
      <w:r>
        <w:rPr>
          <w:rFonts w:ascii="仿宋_GB2312" w:hAnsi="仿宋_GB2312" w:cs="仿宋_GB2312" w:eastAsia="仿宋_GB2312"/>
          <w:sz w:val="24"/>
          <w:shd w:fill="FFFFFF" w:val="clear"/>
        </w:rPr>
        <w:t>2.15</w:t>
      </w:r>
      <w:r>
        <w:rPr>
          <w:rFonts w:ascii="仿宋_GB2312" w:hAnsi="仿宋_GB2312" w:cs="仿宋_GB2312" w:eastAsia="仿宋_GB2312"/>
          <w:sz w:val="24"/>
          <w:shd w:fill="FFFFFF" w:val="clear"/>
        </w:rPr>
        <w:t>投标人应针对</w:t>
      </w:r>
      <w:r>
        <w:rPr>
          <w:rFonts w:ascii="仿宋_GB2312" w:hAnsi="仿宋_GB2312" w:cs="仿宋_GB2312" w:eastAsia="仿宋_GB2312"/>
          <w:sz w:val="24"/>
        </w:rPr>
        <w:t>地理位置、经济条件、场地设施、站点及周边情况、服务计划、服务内容实施</w:t>
      </w:r>
      <w:r>
        <w:rPr>
          <w:rFonts w:ascii="仿宋_GB2312" w:hAnsi="仿宋_GB2312" w:cs="仿宋_GB2312" w:eastAsia="仿宋_GB2312"/>
          <w:sz w:val="24"/>
          <w:shd w:fill="FFFFFF" w:val="clear"/>
        </w:rPr>
        <w:t>等维度设计提供各村（居）对应的个性化服务方案。</w:t>
      </w:r>
    </w:p>
    <w:p>
      <w:pPr>
        <w:pStyle w:val="null3"/>
        <w:ind w:firstLine="480"/>
      </w:pPr>
      <w:r>
        <w:rPr>
          <w:rFonts w:ascii="仿宋_GB2312" w:hAnsi="仿宋_GB2312" w:cs="仿宋_GB2312" w:eastAsia="仿宋_GB2312"/>
          <w:sz w:val="24"/>
          <w:shd w:fill="FFFFFF" w:val="clear"/>
        </w:rPr>
        <w:t>2.16</w:t>
      </w:r>
      <w:r>
        <w:rPr>
          <w:rFonts w:ascii="仿宋_GB2312" w:hAnsi="仿宋_GB2312" w:cs="仿宋_GB2312" w:eastAsia="仿宋_GB2312"/>
          <w:sz w:val="24"/>
          <w:shd w:fill="FFFFFF" w:val="clear"/>
        </w:rPr>
        <w:t>投标人应</w:t>
      </w:r>
      <w:r>
        <w:rPr>
          <w:rFonts w:ascii="仿宋_GB2312" w:hAnsi="仿宋_GB2312" w:cs="仿宋_GB2312" w:eastAsia="仿宋_GB2312"/>
          <w:sz w:val="24"/>
        </w:rPr>
        <w:t>针对不同类型的老人群体制定突发情况分析及处理措施</w:t>
      </w:r>
      <w:r>
        <w:rPr>
          <w:rFonts w:ascii="仿宋_GB2312" w:hAnsi="仿宋_GB2312" w:cs="仿宋_GB2312" w:eastAsia="仿宋_GB2312"/>
          <w:sz w:val="24"/>
          <w:shd w:fill="FFFFFF" w:val="clear"/>
        </w:rPr>
        <w:t>，包括但不限于紧急救助、应急救援预案、应急人员配置等。</w:t>
      </w:r>
    </w:p>
    <w:p>
      <w:pPr>
        <w:pStyle w:val="null3"/>
        <w:ind w:firstLine="480"/>
      </w:pPr>
      <w:r>
        <w:rPr>
          <w:rFonts w:ascii="仿宋_GB2312" w:hAnsi="仿宋_GB2312" w:cs="仿宋_GB2312" w:eastAsia="仿宋_GB2312"/>
          <w:sz w:val="24"/>
          <w:shd w:fill="FFFFFF" w:val="clear"/>
        </w:rPr>
        <w:t xml:space="preserve">2.17 </w:t>
      </w:r>
      <w:r>
        <w:rPr>
          <w:rFonts w:ascii="仿宋_GB2312" w:hAnsi="仿宋_GB2312" w:cs="仿宋_GB2312" w:eastAsia="仿宋_GB2312"/>
          <w:sz w:val="24"/>
          <w:shd w:fill="FFFFFF" w:val="clear"/>
        </w:rPr>
        <w:t>投标人应</w:t>
      </w:r>
      <w:r>
        <w:rPr>
          <w:rFonts w:ascii="仿宋_GB2312" w:hAnsi="仿宋_GB2312" w:cs="仿宋_GB2312" w:eastAsia="仿宋_GB2312"/>
          <w:sz w:val="24"/>
        </w:rPr>
        <w:t>针对不同类型老人群体提供个性化、专业化的服务方案，方案至少包含6种及以上“老人人群分类”个性化、专业化的服务内容。</w:t>
      </w:r>
    </w:p>
    <w:p>
      <w:pPr>
        <w:pStyle w:val="null3"/>
        <w:ind w:firstLine="480"/>
      </w:pPr>
      <w:r>
        <w:rPr>
          <w:rFonts w:ascii="仿宋_GB2312" w:hAnsi="仿宋_GB2312" w:cs="仿宋_GB2312" w:eastAsia="仿宋_GB2312"/>
          <w:sz w:val="24"/>
          <w:shd w:fill="FFFFFF" w:val="clear"/>
        </w:rPr>
        <w:t>2.18</w:t>
      </w:r>
      <w:r>
        <w:rPr>
          <w:rFonts w:ascii="仿宋_GB2312" w:hAnsi="仿宋_GB2312" w:cs="仿宋_GB2312" w:eastAsia="仿宋_GB2312"/>
          <w:sz w:val="24"/>
          <w:shd w:fill="FFFFFF" w:val="clear"/>
        </w:rPr>
        <w:t>投标人应提供对养老服务的宣传方案，至少包含①宣传团队整体结构、②老年人政策法规、③健康保健、④孝道文化。</w:t>
      </w:r>
    </w:p>
    <w:p>
      <w:pPr>
        <w:pStyle w:val="null3"/>
        <w:ind w:firstLine="480"/>
      </w:pPr>
      <w:r>
        <w:rPr>
          <w:rFonts w:ascii="仿宋_GB2312" w:hAnsi="仿宋_GB2312" w:cs="仿宋_GB2312" w:eastAsia="仿宋_GB2312"/>
          <w:sz w:val="24"/>
          <w:shd w:fill="FFFFFF" w:val="clear"/>
        </w:rPr>
        <w:t>2.19</w:t>
      </w:r>
      <w:r>
        <w:rPr>
          <w:rFonts w:ascii="仿宋_GB2312" w:hAnsi="仿宋_GB2312" w:cs="仿宋_GB2312" w:eastAsia="仿宋_GB2312"/>
          <w:sz w:val="24"/>
          <w:shd w:fill="FFFFFF" w:val="clear"/>
        </w:rPr>
        <w:t>中标人</w:t>
      </w:r>
      <w:r>
        <w:rPr>
          <w:rFonts w:ascii="仿宋_GB2312" w:hAnsi="仿宋_GB2312" w:cs="仿宋_GB2312" w:eastAsia="仿宋_GB2312"/>
          <w:sz w:val="24"/>
        </w:rPr>
        <w:t>中标后建立区域配餐中心及运营助餐点并提供针对本项目的运营方案，方案包括但不限于根据社区养老服务以及日常行政、业务管理合理设置职能部门、日常工作管理等</w:t>
      </w:r>
      <w:r>
        <w:rPr>
          <w:rFonts w:ascii="仿宋_GB2312" w:hAnsi="仿宋_GB2312" w:cs="仿宋_GB2312" w:eastAsia="仿宋_GB2312"/>
          <w:sz w:val="24"/>
          <w:shd w:fill="FFFFFF" w:val="clear"/>
        </w:rPr>
        <w:t>。</w:t>
      </w:r>
    </w:p>
    <w:p>
      <w:pPr>
        <w:pStyle w:val="null3"/>
        <w:ind w:firstLine="480"/>
      </w:pPr>
      <w:r>
        <w:rPr>
          <w:rFonts w:ascii="仿宋_GB2312" w:hAnsi="仿宋_GB2312" w:cs="仿宋_GB2312" w:eastAsia="仿宋_GB2312"/>
          <w:sz w:val="24"/>
          <w:shd w:fill="FFFFFF" w:val="clear"/>
        </w:rPr>
        <w:t>2.20</w:t>
      </w:r>
      <w:r>
        <w:rPr>
          <w:rFonts w:ascii="仿宋_GB2312" w:hAnsi="仿宋_GB2312" w:cs="仿宋_GB2312" w:eastAsia="仿宋_GB2312"/>
          <w:sz w:val="24"/>
          <w:shd w:fill="FFFFFF" w:val="clear"/>
        </w:rPr>
        <w:t>中标人需为所运营的场地购买场地责任险和食品安全责任险。</w:t>
      </w:r>
    </w:p>
    <w:p>
      <w:pPr>
        <w:pStyle w:val="null3"/>
        <w:ind w:firstLine="480"/>
      </w:pPr>
      <w:r>
        <w:rPr>
          <w:rFonts w:ascii="仿宋_GB2312" w:hAnsi="仿宋_GB2312" w:cs="仿宋_GB2312" w:eastAsia="仿宋_GB2312"/>
          <w:sz w:val="24"/>
          <w:shd w:fill="FFFFFF" w:val="clear"/>
        </w:rPr>
        <w:t>2.21</w:t>
      </w:r>
      <w:r>
        <w:rPr>
          <w:rFonts w:ascii="仿宋_GB2312" w:hAnsi="仿宋_GB2312" w:cs="仿宋_GB2312" w:eastAsia="仿宋_GB2312"/>
          <w:sz w:val="24"/>
          <w:shd w:fill="FFFFFF" w:val="clear"/>
        </w:rPr>
        <w:t>中标人除自身服务人员以外还将整合当地志愿者服务队伍为周边老人提供服务，并</w:t>
      </w:r>
      <w:r>
        <w:rPr>
          <w:rFonts w:ascii="仿宋_GB2312" w:hAnsi="仿宋_GB2312" w:cs="仿宋_GB2312" w:eastAsia="仿宋_GB2312"/>
          <w:sz w:val="24"/>
        </w:rPr>
        <w:t>提供当地志愿者服务队伍整合方案，方案包括但不限于团队整合目标、整合方式、实施措施等内容</w:t>
      </w:r>
      <w:r>
        <w:rPr>
          <w:rFonts w:ascii="仿宋_GB2312" w:hAnsi="仿宋_GB2312" w:cs="仿宋_GB2312" w:eastAsia="仿宋_GB2312"/>
          <w:sz w:val="24"/>
          <w:shd w:fill="FFFFFF" w:val="clear"/>
        </w:rPr>
        <w:t xml:space="preserve">。 </w:t>
      </w:r>
    </w:p>
    <w:p>
      <w:pPr>
        <w:pStyle w:val="null3"/>
        <w:ind w:firstLine="480"/>
      </w:pPr>
      <w:r>
        <w:rPr>
          <w:rFonts w:ascii="仿宋_GB2312" w:hAnsi="仿宋_GB2312" w:cs="仿宋_GB2312" w:eastAsia="仿宋_GB2312"/>
          <w:sz w:val="24"/>
          <w:shd w:fill="FFFFFF" w:val="clear"/>
        </w:rPr>
        <w:t>2.22</w:t>
      </w:r>
      <w:r>
        <w:rPr>
          <w:rFonts w:ascii="仿宋_GB2312" w:hAnsi="仿宋_GB2312" w:cs="仿宋_GB2312" w:eastAsia="仿宋_GB2312"/>
          <w:sz w:val="24"/>
        </w:rPr>
        <w:t>投标人应针对本项目制定的服务质量自我监管制度，至少包含①工作制度、②各项工作岗位职责、③服务质量考核机制及考核指标。</w:t>
      </w:r>
    </w:p>
    <w:p>
      <w:pPr>
        <w:pStyle w:val="null3"/>
        <w:ind w:firstLine="480"/>
      </w:pPr>
      <w:r>
        <w:rPr>
          <w:rFonts w:ascii="仿宋_GB2312" w:hAnsi="仿宋_GB2312" w:cs="仿宋_GB2312" w:eastAsia="仿宋_GB2312"/>
          <w:sz w:val="24"/>
          <w:shd w:fill="FFFFFF" w:val="clear"/>
        </w:rPr>
        <w:t>2.23</w:t>
      </w:r>
      <w:r>
        <w:rPr>
          <w:rFonts w:ascii="仿宋_GB2312" w:hAnsi="仿宋_GB2312" w:cs="仿宋_GB2312" w:eastAsia="仿宋_GB2312"/>
          <w:sz w:val="24"/>
          <w:shd w:fill="FFFFFF" w:val="clear"/>
        </w:rPr>
        <w:t>投标人中标后应积极配合镇政府指定第三方评估机构开展评估及财务审计工作。</w:t>
      </w:r>
    </w:p>
    <w:p>
      <w:pPr>
        <w:pStyle w:val="null3"/>
        <w:ind w:firstLine="480"/>
      </w:pPr>
      <w:r>
        <w:rPr>
          <w:rFonts w:ascii="仿宋_GB2312" w:hAnsi="仿宋_GB2312" w:cs="仿宋_GB2312" w:eastAsia="仿宋_GB2312"/>
          <w:sz w:val="24"/>
          <w:shd w:fill="FFFFFF" w:val="clear"/>
        </w:rPr>
        <w:t>2.24</w:t>
      </w:r>
      <w:r>
        <w:rPr>
          <w:rFonts w:ascii="仿宋_GB2312" w:hAnsi="仿宋_GB2312" w:cs="仿宋_GB2312" w:eastAsia="仿宋_GB2312"/>
          <w:sz w:val="24"/>
          <w:shd w:fill="FFFFFF" w:val="clear"/>
        </w:rPr>
        <w:t>依托养老服务热线3500011及智能化设备，提供全年每天24小时的主动关怀和联动救助服务。</w:t>
      </w:r>
    </w:p>
    <w:p>
      <w:pPr>
        <w:pStyle w:val="null3"/>
        <w:ind w:firstLine="480"/>
      </w:pPr>
      <w:r>
        <w:rPr>
          <w:rFonts w:ascii="仿宋_GB2312" w:hAnsi="仿宋_GB2312" w:cs="仿宋_GB2312" w:eastAsia="仿宋_GB2312"/>
          <w:sz w:val="24"/>
          <w:shd w:fill="FFFFFF" w:val="clear"/>
        </w:rPr>
        <w:t>2.25</w:t>
      </w:r>
      <w:r>
        <w:rPr>
          <w:rFonts w:ascii="仿宋_GB2312" w:hAnsi="仿宋_GB2312" w:cs="仿宋_GB2312" w:eastAsia="仿宋_GB2312"/>
          <w:sz w:val="24"/>
          <w:shd w:fill="FFFFFF" w:val="clear"/>
        </w:rPr>
        <w:t>投标人提供的管理方案和人员配备方案必须满足采购人的实际需求，在工作内容和工作量不变的情况下，采购人不再支付因响应方案不完整而引起的费用。</w:t>
      </w:r>
    </w:p>
    <w:p>
      <w:pPr>
        <w:pStyle w:val="null3"/>
        <w:ind w:firstLine="480"/>
      </w:pPr>
      <w:r>
        <w:rPr>
          <w:rFonts w:ascii="仿宋_GB2312" w:hAnsi="仿宋_GB2312" w:cs="仿宋_GB2312" w:eastAsia="仿宋_GB2312"/>
          <w:sz w:val="24"/>
          <w:shd w:fill="FFFFFF" w:val="clear"/>
        </w:rPr>
        <w:t>2.26</w:t>
      </w:r>
      <w:r>
        <w:rPr>
          <w:rFonts w:ascii="仿宋_GB2312" w:hAnsi="仿宋_GB2312" w:cs="仿宋_GB2312" w:eastAsia="仿宋_GB2312"/>
          <w:sz w:val="24"/>
          <w:shd w:fill="FFFFFF" w:val="clear"/>
        </w:rPr>
        <w:t>投标人应依据采购文件要求及采购文件所作承诺履行职责，如有违约，采购人有权根据协议、合同采取措施保证本次采购服务的顺利进行，并相应追究违约方的违约责任。</w:t>
      </w:r>
    </w:p>
    <w:p>
      <w:pPr>
        <w:pStyle w:val="null3"/>
        <w:ind w:firstLine="480"/>
      </w:pPr>
      <w:r>
        <w:rPr>
          <w:rFonts w:ascii="仿宋_GB2312" w:hAnsi="仿宋_GB2312" w:cs="仿宋_GB2312" w:eastAsia="仿宋_GB2312"/>
          <w:sz w:val="24"/>
          <w:shd w:fill="FFFFFF" w:val="clear"/>
        </w:rPr>
        <w:t>2.27</w:t>
      </w:r>
      <w:r>
        <w:rPr>
          <w:rFonts w:ascii="仿宋_GB2312" w:hAnsi="仿宋_GB2312" w:cs="仿宋_GB2312" w:eastAsia="仿宋_GB2312"/>
          <w:sz w:val="24"/>
          <w:shd w:fill="FFFFFF" w:val="clear"/>
        </w:rPr>
        <w:t>采购文件中若有要求提供证书、证明等证明材料的，须提供该证明材料加盖投标人公章的复印件，且必须在有效期内。</w:t>
      </w:r>
    </w:p>
    <w:p>
      <w:pPr>
        <w:pStyle w:val="null3"/>
        <w:ind w:firstLine="480"/>
      </w:pPr>
      <w:r>
        <w:rPr>
          <w:rFonts w:ascii="仿宋_GB2312" w:hAnsi="仿宋_GB2312" w:cs="仿宋_GB2312" w:eastAsia="仿宋_GB2312"/>
          <w:sz w:val="24"/>
          <w:shd w:fill="FFFFFF" w:val="clear"/>
        </w:rPr>
        <w:t>2.28</w:t>
      </w:r>
      <w:r>
        <w:rPr>
          <w:rFonts w:ascii="仿宋_GB2312" w:hAnsi="仿宋_GB2312" w:cs="仿宋_GB2312" w:eastAsia="仿宋_GB2312"/>
          <w:sz w:val="24"/>
          <w:shd w:fill="FFFFFF" w:val="clear"/>
        </w:rPr>
        <w:t>投标人应接受采购人制定的各种规章制度，并根据项目服务的需要建立各种规范化管理制度、工作流程、考核制度及其他相关的工作制度。</w:t>
      </w:r>
    </w:p>
    <w:p>
      <w:pPr>
        <w:pStyle w:val="null3"/>
        <w:ind w:firstLine="480"/>
      </w:pPr>
      <w:r>
        <w:rPr>
          <w:rFonts w:ascii="仿宋_GB2312" w:hAnsi="仿宋_GB2312" w:cs="仿宋_GB2312" w:eastAsia="仿宋_GB2312"/>
          <w:sz w:val="24"/>
          <w:shd w:fill="FFFFFF" w:val="clear"/>
        </w:rPr>
        <w:t>2.29</w:t>
      </w:r>
      <w:r>
        <w:rPr>
          <w:rFonts w:ascii="仿宋_GB2312" w:hAnsi="仿宋_GB2312" w:cs="仿宋_GB2312" w:eastAsia="仿宋_GB2312"/>
          <w:sz w:val="24"/>
          <w:shd w:fill="FFFFFF" w:val="clear"/>
        </w:rPr>
        <w:t>投标人应明确所提供的服务方案和采购要求存在正负偏离情况，有任何偏差都必须加以说明，否则视为接受采购文件的规定。对照采购文件要求，逐条说明所提供方案已对采购人的技术服务及商务要求做出了实质性的响应，或说明与技术、商务要求条款的偏差情况并列于《技术和服务要求响应表》及《商务条件和其它事项响应表》中。投标人若未对采购要求进行逐条响应，评标委员会将做出不利于投标人的评审。</w:t>
      </w:r>
    </w:p>
    <w:p>
      <w:pPr>
        <w:pStyle w:val="null3"/>
        <w:ind w:firstLine="482"/>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评估办法</w:t>
      </w:r>
    </w:p>
    <w:p>
      <w:pPr>
        <w:pStyle w:val="null3"/>
        <w:ind w:firstLine="480"/>
      </w:pPr>
      <w:r>
        <w:rPr>
          <w:rFonts w:ascii="仿宋_GB2312" w:hAnsi="仿宋_GB2312" w:cs="仿宋_GB2312" w:eastAsia="仿宋_GB2312"/>
          <w:sz w:val="24"/>
          <w:color w:val="000000"/>
        </w:rPr>
        <w:t>杏林街道养老服务设施专业化运营项目评估办法，详见招标文件附件。</w:t>
      </w:r>
    </w:p>
    <w:p>
      <w:pPr>
        <w:pStyle w:val="null3"/>
        <w:ind w:firstLine="482"/>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考核方式</w:t>
      </w:r>
    </w:p>
    <w:p>
      <w:pPr>
        <w:pStyle w:val="null3"/>
        <w:ind w:firstLine="480"/>
      </w:pPr>
      <w:r>
        <w:rPr>
          <w:rFonts w:ascii="仿宋_GB2312" w:hAnsi="仿宋_GB2312" w:cs="仿宋_GB2312" w:eastAsia="仿宋_GB2312"/>
          <w:sz w:val="24"/>
          <w:color w:val="000000"/>
        </w:rPr>
        <w:t xml:space="preserve">4.1 </w:t>
      </w:r>
      <w:r>
        <w:rPr>
          <w:rFonts w:ascii="仿宋_GB2312" w:hAnsi="仿宋_GB2312" w:cs="仿宋_GB2312" w:eastAsia="仿宋_GB2312"/>
          <w:sz w:val="24"/>
          <w:color w:val="000000"/>
        </w:rPr>
        <w:t>项目由委托的第三方机构对每个服务点进行考核。考核内容主要为服务项目的履行、服务目标达成度、受益群体满意度以及社会效益，如市、区民政部门新出台相关考核标准，按新的文件标准执行。除此之外采购人及项目所在</w:t>
      </w:r>
      <w:r>
        <w:rPr>
          <w:rFonts w:ascii="仿宋_GB2312" w:hAnsi="仿宋_GB2312" w:cs="仿宋_GB2312" w:eastAsia="仿宋_GB2312"/>
          <w:sz w:val="24"/>
        </w:rPr>
        <w:t>村（居）</w:t>
      </w:r>
      <w:r>
        <w:rPr>
          <w:rFonts w:ascii="仿宋_GB2312" w:hAnsi="仿宋_GB2312" w:cs="仿宋_GB2312" w:eastAsia="仿宋_GB2312"/>
          <w:sz w:val="24"/>
          <w:color w:val="000000"/>
        </w:rPr>
        <w:t>可通过抽查、随机采访、问卷征询、定点征求意见等方式进行临时考核。</w:t>
      </w:r>
    </w:p>
    <w:p>
      <w:pPr>
        <w:pStyle w:val="null3"/>
        <w:ind w:firstLine="480"/>
        <w:jc w:val="both"/>
      </w:pPr>
      <w:r>
        <w:rPr>
          <w:rFonts w:ascii="仿宋_GB2312" w:hAnsi="仿宋_GB2312" w:cs="仿宋_GB2312" w:eastAsia="仿宋_GB2312"/>
          <w:sz w:val="24"/>
        </w:rPr>
        <w:t xml:space="preserve">4.2 </w:t>
      </w:r>
      <w:r>
        <w:rPr>
          <w:rFonts w:ascii="仿宋_GB2312" w:hAnsi="仿宋_GB2312" w:cs="仿宋_GB2312" w:eastAsia="仿宋_GB2312"/>
          <w:sz w:val="24"/>
        </w:rPr>
        <w:t>本项目考核对象涉及运营的全部站点，对每个站点分别进行考核评估，得出考核分值。考核分值为基本分100分及附加指标分的综合分。</w:t>
      </w:r>
      <w:r>
        <w:rPr>
          <w:rFonts w:ascii="仿宋_GB2312" w:hAnsi="仿宋_GB2312" w:cs="仿宋_GB2312" w:eastAsia="仿宋_GB2312"/>
          <w:sz w:val="24"/>
        </w:rPr>
        <w:t>合同签订之日起至2025年6月30日</w:t>
      </w:r>
      <w:r>
        <w:rPr>
          <w:rFonts w:ascii="仿宋_GB2312" w:hAnsi="仿宋_GB2312" w:cs="仿宋_GB2312" w:eastAsia="仿宋_GB2312"/>
          <w:sz w:val="24"/>
        </w:rPr>
        <w:t>开展一次、</w:t>
      </w:r>
      <w:r>
        <w:rPr>
          <w:rFonts w:ascii="仿宋_GB2312" w:hAnsi="仿宋_GB2312" w:cs="仿宋_GB2312" w:eastAsia="仿宋_GB2312"/>
          <w:sz w:val="24"/>
        </w:rPr>
        <w:t>2025</w:t>
      </w:r>
      <w:r>
        <w:rPr>
          <w:rFonts w:ascii="仿宋_GB2312" w:hAnsi="仿宋_GB2312" w:cs="仿宋_GB2312" w:eastAsia="仿宋_GB2312"/>
          <w:sz w:val="24"/>
        </w:rPr>
        <w:t>年7月1日至2025年9月30日</w:t>
      </w:r>
      <w:r>
        <w:rPr>
          <w:rFonts w:ascii="仿宋_GB2312" w:hAnsi="仿宋_GB2312" w:cs="仿宋_GB2312" w:eastAsia="仿宋_GB2312"/>
          <w:sz w:val="24"/>
        </w:rPr>
        <w:t>一次、</w:t>
      </w:r>
      <w:r>
        <w:rPr>
          <w:rFonts w:ascii="仿宋_GB2312" w:hAnsi="仿宋_GB2312" w:cs="仿宋_GB2312" w:eastAsia="仿宋_GB2312"/>
          <w:sz w:val="24"/>
        </w:rPr>
        <w:t>2025</w:t>
      </w:r>
      <w:r>
        <w:rPr>
          <w:rFonts w:ascii="仿宋_GB2312" w:hAnsi="仿宋_GB2312" w:cs="仿宋_GB2312" w:eastAsia="仿宋_GB2312"/>
          <w:sz w:val="24"/>
        </w:rPr>
        <w:t>年10月1日至2025年12月31日</w:t>
      </w:r>
      <w:r>
        <w:rPr>
          <w:rFonts w:ascii="仿宋_GB2312" w:hAnsi="仿宋_GB2312" w:cs="仿宋_GB2312" w:eastAsia="仿宋_GB2312"/>
          <w:sz w:val="24"/>
        </w:rPr>
        <w:t>一次、</w:t>
      </w:r>
      <w:r>
        <w:rPr>
          <w:rFonts w:ascii="仿宋_GB2312" w:hAnsi="仿宋_GB2312" w:cs="仿宋_GB2312" w:eastAsia="仿宋_GB2312"/>
          <w:sz w:val="24"/>
        </w:rPr>
        <w:t>2026</w:t>
      </w:r>
      <w:r>
        <w:rPr>
          <w:rFonts w:ascii="仿宋_GB2312" w:hAnsi="仿宋_GB2312" w:cs="仿宋_GB2312" w:eastAsia="仿宋_GB2312"/>
          <w:sz w:val="24"/>
        </w:rPr>
        <w:t>年1月1日至2026年3月31日一次、2026年4月1日至2026年7月31日一次</w:t>
      </w:r>
      <w:r>
        <w:rPr>
          <w:rFonts w:ascii="仿宋_GB2312" w:hAnsi="仿宋_GB2312" w:cs="仿宋_GB2312" w:eastAsia="仿宋_GB2312"/>
          <w:sz w:val="24"/>
        </w:rPr>
        <w:t>。根据每期考核分值，每期考核分≥90分的，对应站点获得该考核时段100%服务款项；85分≤考核分值＜90分的，对应站点获得该考核时段95%服务款项；80分≤考核分值＜85分的，对应站点获得该考核时段90%服务款项；70分≤考核分值＜80分的，对应站点获得该考核时段80%服务款项；60分≤考核分值＜70分的，对应站点获得该考核时段60%服务款项；考核分值60分以下的，对应站点获得该考核时段40%服务款项。</w:t>
      </w:r>
    </w:p>
    <w:p>
      <w:pPr>
        <w:pStyle w:val="null3"/>
        <w:ind w:firstLine="480"/>
        <w:jc w:val="both"/>
      </w:pPr>
      <w:r>
        <w:rPr>
          <w:rFonts w:ascii="仿宋_GB2312" w:hAnsi="仿宋_GB2312" w:cs="仿宋_GB2312" w:eastAsia="仿宋_GB2312"/>
          <w:sz w:val="24"/>
          <w:color w:val="000000"/>
        </w:rPr>
        <w:t>4.3</w:t>
      </w:r>
      <w:r>
        <w:rPr>
          <w:rFonts w:ascii="仿宋_GB2312" w:hAnsi="仿宋_GB2312" w:cs="仿宋_GB2312" w:eastAsia="仿宋_GB2312"/>
          <w:sz w:val="24"/>
          <w:color w:val="000000"/>
        </w:rPr>
        <w:t>第三方评估机构对服务点进行评估后，若站点连续2次考核结果出现同一评估小项（评估办法中的三级指标，不包含加分、扣分项）分值为0分的，该站点当</w:t>
      </w:r>
      <w:r>
        <w:rPr>
          <w:rFonts w:ascii="仿宋_GB2312" w:hAnsi="仿宋_GB2312" w:cs="仿宋_GB2312" w:eastAsia="仿宋_GB2312"/>
          <w:sz w:val="24"/>
        </w:rPr>
        <w:t>次考核时段</w:t>
      </w:r>
      <w:r>
        <w:rPr>
          <w:rFonts w:ascii="仿宋_GB2312" w:hAnsi="仿宋_GB2312" w:cs="仿宋_GB2312" w:eastAsia="仿宋_GB2312"/>
          <w:sz w:val="24"/>
          <w:color w:val="000000"/>
        </w:rPr>
        <w:t>的结算经费按评估分值降一档次后的结果发放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4.4</w:t>
      </w:r>
      <w:r>
        <w:rPr>
          <w:rFonts w:ascii="仿宋_GB2312" w:hAnsi="仿宋_GB2312" w:cs="仿宋_GB2312" w:eastAsia="仿宋_GB2312"/>
          <w:sz w:val="24"/>
        </w:rPr>
        <w:t>考核结果与项目终止</w:t>
      </w:r>
    </w:p>
    <w:p>
      <w:pPr>
        <w:pStyle w:val="null3"/>
        <w:ind w:firstLine="480"/>
        <w:jc w:val="both"/>
      </w:pPr>
      <w:r>
        <w:rPr>
          <w:rFonts w:ascii="仿宋_GB2312" w:hAnsi="仿宋_GB2312" w:cs="仿宋_GB2312" w:eastAsia="仿宋_GB2312"/>
          <w:sz w:val="24"/>
        </w:rPr>
        <w:t>每期考核中，单站点的考核分值低于60分的结果合计次数达两次及以上的，采购人有权单方解除合同。</w:t>
      </w:r>
    </w:p>
    <w:p>
      <w:pPr>
        <w:pStyle w:val="null3"/>
        <w:ind w:firstLine="482"/>
      </w:pPr>
      <w:r>
        <w:rPr>
          <w:rFonts w:ascii="仿宋_GB2312" w:hAnsi="仿宋_GB2312" w:cs="仿宋_GB2312" w:eastAsia="仿宋_GB2312"/>
          <w:sz w:val="24"/>
          <w:b/>
          <w:shd w:fill="FFFFFF" w:val="clear"/>
        </w:rPr>
        <w:t>5.</w:t>
      </w:r>
      <w:r>
        <w:rPr>
          <w:rFonts w:ascii="仿宋_GB2312" w:hAnsi="仿宋_GB2312" w:cs="仿宋_GB2312" w:eastAsia="仿宋_GB2312"/>
          <w:sz w:val="24"/>
          <w:b/>
          <w:shd w:fill="FFFFFF" w:val="clear"/>
        </w:rPr>
        <w:t>风险承担与责任认定机制</w:t>
      </w:r>
    </w:p>
    <w:p>
      <w:pPr>
        <w:pStyle w:val="null3"/>
        <w:ind w:firstLine="480"/>
      </w:pPr>
      <w:r>
        <w:rPr>
          <w:rFonts w:ascii="仿宋_GB2312" w:hAnsi="仿宋_GB2312" w:cs="仿宋_GB2312" w:eastAsia="仿宋_GB2312"/>
          <w:sz w:val="24"/>
          <w:shd w:fill="FFFFFF" w:val="clear"/>
        </w:rPr>
        <w:t>5.1</w:t>
      </w:r>
      <w:r>
        <w:rPr>
          <w:rFonts w:ascii="仿宋_GB2312" w:hAnsi="仿宋_GB2312" w:cs="仿宋_GB2312" w:eastAsia="仿宋_GB2312"/>
          <w:sz w:val="24"/>
          <w:shd w:fill="FFFFFF" w:val="clear"/>
        </w:rPr>
        <w:t>中标人应与采购人紧密配合，准确把握需求并快速响应采购人需求，配合采购人的监督管理、积极改进完善。如与需求不符，中标人应按采购人要求期限内整改。中标人应按照行业专家及采购人提出的意见在合同约定的时间内，保障服务的安全、稳定、良好、有序开展。</w:t>
      </w:r>
    </w:p>
    <w:p>
      <w:pPr>
        <w:pStyle w:val="null3"/>
        <w:ind w:firstLine="480"/>
      </w:pPr>
      <w:r>
        <w:rPr>
          <w:rFonts w:ascii="仿宋_GB2312" w:hAnsi="仿宋_GB2312" w:cs="仿宋_GB2312" w:eastAsia="仿宋_GB2312"/>
          <w:sz w:val="24"/>
          <w:shd w:fill="FFFFFF" w:val="clear"/>
        </w:rPr>
        <w:t>5.2</w:t>
      </w:r>
      <w:r>
        <w:rPr>
          <w:rFonts w:ascii="仿宋_GB2312" w:hAnsi="仿宋_GB2312" w:cs="仿宋_GB2312" w:eastAsia="仿宋_GB2312"/>
          <w:sz w:val="24"/>
          <w:shd w:fill="FFFFFF" w:val="clear"/>
        </w:rPr>
        <w:t>中标人的服务人员的工伤风险，由中标人自行承担，中标人的助老员需要配置意外险。</w:t>
      </w:r>
    </w:p>
    <w:p>
      <w:pPr>
        <w:pStyle w:val="null3"/>
        <w:ind w:firstLine="480"/>
      </w:pPr>
      <w:r>
        <w:rPr>
          <w:rFonts w:ascii="仿宋_GB2312" w:hAnsi="仿宋_GB2312" w:cs="仿宋_GB2312" w:eastAsia="仿宋_GB2312"/>
          <w:sz w:val="24"/>
          <w:shd w:fill="FFFFFF" w:val="clear"/>
        </w:rPr>
        <w:t>5.3</w:t>
      </w:r>
      <w:r>
        <w:rPr>
          <w:rFonts w:ascii="仿宋_GB2312" w:hAnsi="仿宋_GB2312" w:cs="仿宋_GB2312" w:eastAsia="仿宋_GB2312"/>
          <w:sz w:val="24"/>
          <w:shd w:fill="FFFFFF" w:val="clear"/>
        </w:rPr>
        <w:t>中标人配备的现场工作人员应专业、健康，应有从事类似项目的经验，服装整齐、洁净，文明工作，不违反采购人单位安全、卫生等管理制度。作息时间符合采购人要求，不得随意变更，确保符合服务承诺。</w:t>
      </w:r>
    </w:p>
    <w:p>
      <w:pPr>
        <w:pStyle w:val="null3"/>
        <w:ind w:firstLine="480"/>
      </w:pPr>
      <w:r>
        <w:rPr>
          <w:rFonts w:ascii="仿宋_GB2312" w:hAnsi="仿宋_GB2312" w:cs="仿宋_GB2312" w:eastAsia="仿宋_GB2312"/>
          <w:sz w:val="24"/>
          <w:shd w:fill="FFFFFF" w:val="clear"/>
        </w:rPr>
        <w:t>5.4</w:t>
      </w:r>
      <w:r>
        <w:rPr>
          <w:rFonts w:ascii="仿宋_GB2312" w:hAnsi="仿宋_GB2312" w:cs="仿宋_GB2312" w:eastAsia="仿宋_GB2312"/>
          <w:sz w:val="24"/>
          <w:shd w:fill="FFFFFF" w:val="clear"/>
        </w:rPr>
        <w:t>中标人应加强进</w:t>
      </w:r>
      <w:r>
        <w:rPr>
          <w:rFonts w:ascii="仿宋_GB2312" w:hAnsi="仿宋_GB2312" w:cs="仿宋_GB2312" w:eastAsia="仿宋_GB2312"/>
          <w:sz w:val="24"/>
        </w:rPr>
        <w:t>村（居）</w:t>
      </w:r>
      <w:r>
        <w:rPr>
          <w:rFonts w:ascii="仿宋_GB2312" w:hAnsi="仿宋_GB2312" w:cs="仿宋_GB2312" w:eastAsia="仿宋_GB2312"/>
          <w:sz w:val="24"/>
          <w:shd w:fill="FFFFFF" w:val="clear"/>
        </w:rPr>
        <w:t>服务的工作人员的安全教育，相关人员人身安全事故责任均由中标人承担。</w:t>
      </w:r>
    </w:p>
    <w:p>
      <w:pPr>
        <w:pStyle w:val="null3"/>
        <w:ind w:firstLine="480"/>
      </w:pPr>
      <w:r>
        <w:rPr>
          <w:rFonts w:ascii="仿宋_GB2312" w:hAnsi="仿宋_GB2312" w:cs="仿宋_GB2312" w:eastAsia="仿宋_GB2312"/>
          <w:sz w:val="24"/>
          <w:shd w:fill="FFFFFF" w:val="clear"/>
        </w:rPr>
        <w:t>5.5</w:t>
      </w:r>
      <w:r>
        <w:rPr>
          <w:rFonts w:ascii="仿宋_GB2312" w:hAnsi="仿宋_GB2312" w:cs="仿宋_GB2312" w:eastAsia="仿宋_GB2312"/>
          <w:sz w:val="24"/>
          <w:shd w:fill="FFFFFF" w:val="clear"/>
        </w:rPr>
        <w:t>中标人在项目履约过程中若出现安全事故，其责任及相应的赔偿均由中标人自行承担，采购人不承担所有责任及义务。</w:t>
      </w:r>
    </w:p>
    <w:p>
      <w:pPr>
        <w:pStyle w:val="null3"/>
        <w:ind w:firstLine="482"/>
      </w:pPr>
      <w:r>
        <w:rPr>
          <w:rFonts w:ascii="仿宋_GB2312" w:hAnsi="仿宋_GB2312" w:cs="仿宋_GB2312" w:eastAsia="仿宋_GB2312"/>
          <w:sz w:val="24"/>
          <w:b/>
          <w:shd w:fill="FFFFFF" w:val="clear"/>
        </w:rPr>
        <w:t>6.</w:t>
      </w:r>
      <w:r>
        <w:rPr>
          <w:rFonts w:ascii="仿宋_GB2312" w:hAnsi="仿宋_GB2312" w:cs="仿宋_GB2312" w:eastAsia="仿宋_GB2312"/>
          <w:sz w:val="24"/>
          <w:b/>
          <w:shd w:fill="FFFFFF" w:val="clear"/>
        </w:rPr>
        <w:t>服务及培训要求</w:t>
      </w:r>
    </w:p>
    <w:p>
      <w:pPr>
        <w:pStyle w:val="null3"/>
        <w:ind w:firstLine="480"/>
      </w:pPr>
      <w:r>
        <w:rPr>
          <w:rFonts w:ascii="仿宋_GB2312" w:hAnsi="仿宋_GB2312" w:cs="仿宋_GB2312" w:eastAsia="仿宋_GB2312"/>
          <w:sz w:val="24"/>
          <w:shd w:fill="FFFFFF" w:val="clear"/>
        </w:rPr>
        <w:t>6.1</w:t>
      </w:r>
      <w:r>
        <w:rPr>
          <w:rFonts w:ascii="仿宋_GB2312" w:hAnsi="仿宋_GB2312" w:cs="仿宋_GB2312" w:eastAsia="仿宋_GB2312"/>
          <w:sz w:val="24"/>
          <w:shd w:fill="FFFFFF" w:val="clear"/>
        </w:rPr>
        <w:t>服务要求</w:t>
      </w:r>
    </w:p>
    <w:p>
      <w:pPr>
        <w:pStyle w:val="null3"/>
        <w:ind w:firstLine="480"/>
      </w:pPr>
      <w:r>
        <w:rPr>
          <w:rFonts w:ascii="仿宋_GB2312" w:hAnsi="仿宋_GB2312" w:cs="仿宋_GB2312" w:eastAsia="仿宋_GB2312"/>
          <w:sz w:val="24"/>
          <w:shd w:fill="FFFFFF" w:val="clear"/>
        </w:rPr>
        <w:t>6.1.1</w:t>
      </w:r>
      <w:r>
        <w:rPr>
          <w:rFonts w:ascii="仿宋_GB2312" w:hAnsi="仿宋_GB2312" w:cs="仿宋_GB2312" w:eastAsia="仿宋_GB2312"/>
          <w:sz w:val="24"/>
          <w:shd w:fill="FFFFFF" w:val="clear"/>
        </w:rPr>
        <w:t>服务人员工作时间内不得无故缺勤、脱岗，因此造成的一切后果由中标人负责。</w:t>
      </w:r>
    </w:p>
    <w:p>
      <w:pPr>
        <w:pStyle w:val="null3"/>
        <w:ind w:firstLine="480"/>
      </w:pPr>
      <w:r>
        <w:rPr>
          <w:rFonts w:ascii="仿宋_GB2312" w:hAnsi="仿宋_GB2312" w:cs="仿宋_GB2312" w:eastAsia="仿宋_GB2312"/>
          <w:sz w:val="24"/>
          <w:shd w:fill="FFFFFF" w:val="clear"/>
        </w:rPr>
        <w:t>6.1.2</w:t>
      </w:r>
      <w:r>
        <w:rPr>
          <w:rFonts w:ascii="仿宋_GB2312" w:hAnsi="仿宋_GB2312" w:cs="仿宋_GB2312" w:eastAsia="仿宋_GB2312"/>
          <w:sz w:val="24"/>
          <w:shd w:fill="FFFFFF" w:val="clear"/>
        </w:rPr>
        <w:t>投标人应按照本采购项目特点提供长期良好的服务，并在响应文件中提供详细具体的服务承诺条款及服务质量保证，服务保障所需的费用视为已在投标总报价中考虑。</w:t>
      </w:r>
    </w:p>
    <w:p>
      <w:pPr>
        <w:pStyle w:val="null3"/>
        <w:ind w:firstLine="480"/>
      </w:pPr>
      <w:r>
        <w:rPr>
          <w:rFonts w:ascii="仿宋_GB2312" w:hAnsi="仿宋_GB2312" w:cs="仿宋_GB2312" w:eastAsia="仿宋_GB2312"/>
          <w:sz w:val="24"/>
          <w:shd w:fill="FFFFFF" w:val="clear"/>
        </w:rPr>
        <w:t>6.1.3</w:t>
      </w:r>
      <w:r>
        <w:rPr>
          <w:rFonts w:ascii="仿宋_GB2312" w:hAnsi="仿宋_GB2312" w:cs="仿宋_GB2312" w:eastAsia="仿宋_GB2312"/>
          <w:sz w:val="24"/>
          <w:shd w:fill="FFFFFF" w:val="clear"/>
        </w:rPr>
        <w:t>中标人应向采购人提供完善周到的本地化技术服务，建立完善的服务管理体系及拥有专业的组织队伍，保证项目的正常运行，服务期内提供派遣人员培训、相关系统升级和维护，不得收取额外费用。</w:t>
      </w:r>
    </w:p>
    <w:p>
      <w:pPr>
        <w:pStyle w:val="null3"/>
        <w:ind w:firstLine="480"/>
      </w:pPr>
      <w:r>
        <w:rPr>
          <w:rFonts w:ascii="仿宋_GB2312" w:hAnsi="仿宋_GB2312" w:cs="仿宋_GB2312" w:eastAsia="仿宋_GB2312"/>
          <w:sz w:val="24"/>
          <w:shd w:fill="FFFFFF" w:val="clear"/>
        </w:rPr>
        <w:t>6.1.4</w:t>
      </w:r>
      <w:r>
        <w:rPr>
          <w:rFonts w:ascii="仿宋_GB2312" w:hAnsi="仿宋_GB2312" w:cs="仿宋_GB2312" w:eastAsia="仿宋_GB2312"/>
          <w:sz w:val="24"/>
          <w:shd w:fill="FFFFFF" w:val="clear"/>
        </w:rPr>
        <w:t>投标人应针对本项目提供详细、明确、具体的日常维护和应急解决方案。</w:t>
      </w:r>
    </w:p>
    <w:p>
      <w:pPr>
        <w:pStyle w:val="null3"/>
        <w:ind w:firstLine="480"/>
      </w:pPr>
      <w:r>
        <w:rPr>
          <w:rFonts w:ascii="仿宋_GB2312" w:hAnsi="仿宋_GB2312" w:cs="仿宋_GB2312" w:eastAsia="仿宋_GB2312"/>
          <w:sz w:val="24"/>
          <w:shd w:fill="FFFFFF" w:val="clear"/>
        </w:rPr>
        <w:t>6.1.5</w:t>
      </w:r>
      <w:r>
        <w:rPr>
          <w:rFonts w:ascii="仿宋_GB2312" w:hAnsi="仿宋_GB2312" w:cs="仿宋_GB2312" w:eastAsia="仿宋_GB2312"/>
          <w:sz w:val="24"/>
          <w:shd w:fill="FFFFFF" w:val="clear"/>
        </w:rPr>
        <w:t>投标人具备提供365天×24小时全天候紧急救助联动服务能力。</w:t>
      </w:r>
    </w:p>
    <w:p>
      <w:pPr>
        <w:pStyle w:val="null3"/>
        <w:ind w:firstLine="480"/>
      </w:pPr>
      <w:r>
        <w:rPr>
          <w:rFonts w:ascii="仿宋_GB2312" w:hAnsi="仿宋_GB2312" w:cs="仿宋_GB2312" w:eastAsia="仿宋_GB2312"/>
          <w:sz w:val="24"/>
          <w:shd w:fill="FFFFFF" w:val="clear"/>
        </w:rPr>
        <w:t>6.1.6</w:t>
      </w:r>
      <w:r>
        <w:rPr>
          <w:rFonts w:ascii="仿宋_GB2312" w:hAnsi="仿宋_GB2312" w:cs="仿宋_GB2312" w:eastAsia="仿宋_GB2312"/>
          <w:sz w:val="24"/>
          <w:shd w:fill="FFFFFF" w:val="clear"/>
        </w:rPr>
        <w:t>中标人须对养老服务数据信息进行保密，并在合同签订时同时与采购人签订服务承诺。</w:t>
      </w:r>
    </w:p>
    <w:p>
      <w:pPr>
        <w:pStyle w:val="null3"/>
        <w:ind w:firstLine="480"/>
      </w:pPr>
      <w:r>
        <w:rPr>
          <w:rFonts w:ascii="仿宋_GB2312" w:hAnsi="仿宋_GB2312" w:cs="仿宋_GB2312" w:eastAsia="仿宋_GB2312"/>
          <w:sz w:val="24"/>
          <w:shd w:fill="FFFFFF" w:val="clear"/>
        </w:rPr>
        <w:t>6.1.7</w:t>
      </w:r>
      <w:r>
        <w:rPr>
          <w:rFonts w:ascii="仿宋_GB2312" w:hAnsi="仿宋_GB2312" w:cs="仿宋_GB2312" w:eastAsia="仿宋_GB2312"/>
          <w:sz w:val="24"/>
          <w:shd w:fill="FFFFFF" w:val="clear"/>
        </w:rPr>
        <w:t>投标人认为有利于采购人的其他优惠条款应单独列明。</w:t>
      </w:r>
    </w:p>
    <w:p>
      <w:pPr>
        <w:pStyle w:val="null3"/>
        <w:ind w:firstLine="480"/>
      </w:pPr>
      <w:r>
        <w:rPr>
          <w:rFonts w:ascii="仿宋_GB2312" w:hAnsi="仿宋_GB2312" w:cs="仿宋_GB2312" w:eastAsia="仿宋_GB2312"/>
          <w:sz w:val="24"/>
          <w:shd w:fill="FFFFFF" w:val="clear"/>
        </w:rPr>
        <w:t>6.2</w:t>
      </w:r>
      <w:r>
        <w:rPr>
          <w:rFonts w:ascii="仿宋_GB2312" w:hAnsi="仿宋_GB2312" w:cs="仿宋_GB2312" w:eastAsia="仿宋_GB2312"/>
          <w:sz w:val="24"/>
          <w:shd w:fill="FFFFFF" w:val="clear"/>
        </w:rPr>
        <w:t>培训要求</w:t>
      </w:r>
    </w:p>
    <w:p>
      <w:pPr>
        <w:pStyle w:val="null3"/>
        <w:ind w:firstLine="480"/>
      </w:pPr>
      <w:r>
        <w:rPr>
          <w:rFonts w:ascii="仿宋_GB2312" w:hAnsi="仿宋_GB2312" w:cs="仿宋_GB2312" w:eastAsia="仿宋_GB2312"/>
          <w:sz w:val="24"/>
          <w:shd w:fill="FFFFFF" w:val="clear"/>
        </w:rPr>
        <w:t>服务期内，中标人应为采购人提供相关服务设备、系统平台的操作、使用及维护的技术培训服务。投标人应将所有培训费用（含培训教材费）计入投标总报价。</w:t>
      </w:r>
    </w:p>
    <w:p>
      <w:pPr>
        <w:pStyle w:val="null3"/>
        <w:ind w:firstLine="482"/>
      </w:pPr>
      <w:r>
        <w:rPr>
          <w:rFonts w:ascii="仿宋_GB2312" w:hAnsi="仿宋_GB2312" w:cs="仿宋_GB2312" w:eastAsia="仿宋_GB2312"/>
          <w:sz w:val="24"/>
          <w:b/>
          <w:shd w:fill="FFFFFF" w:val="clear"/>
        </w:rPr>
        <w:t>7.</w:t>
      </w:r>
      <w:r>
        <w:rPr>
          <w:rFonts w:ascii="仿宋_GB2312" w:hAnsi="仿宋_GB2312" w:cs="仿宋_GB2312" w:eastAsia="仿宋_GB2312"/>
          <w:sz w:val="24"/>
          <w:b/>
          <w:shd w:fill="FFFFFF" w:val="clear"/>
        </w:rPr>
        <w:t>项目监测与评估</w:t>
      </w:r>
    </w:p>
    <w:p>
      <w:pPr>
        <w:pStyle w:val="null3"/>
        <w:ind w:firstLine="480"/>
      </w:pPr>
      <w:r>
        <w:rPr>
          <w:rFonts w:ascii="仿宋_GB2312" w:hAnsi="仿宋_GB2312" w:cs="仿宋_GB2312" w:eastAsia="仿宋_GB2312"/>
          <w:sz w:val="24"/>
          <w:shd w:fill="FFFFFF" w:val="clear"/>
        </w:rPr>
        <w:t>7.1</w:t>
      </w:r>
      <w:r>
        <w:rPr>
          <w:rFonts w:ascii="仿宋_GB2312" w:hAnsi="仿宋_GB2312" w:cs="仿宋_GB2312" w:eastAsia="仿宋_GB2312"/>
          <w:sz w:val="24"/>
          <w:shd w:fill="FFFFFF" w:val="clear"/>
        </w:rPr>
        <w:t>项目内部监测。中标人自行策划、开展、评估。需要资深的社会工作人员或者养老从业人员对工作人员、项目实施过程、工作过程技巧等进行监测、提供培训支持和督导服务，促进项目持续化、良性循环发展。项目监测形式由中标人自行组织安排。</w:t>
      </w:r>
    </w:p>
    <w:p>
      <w:pPr>
        <w:pStyle w:val="null3"/>
        <w:ind w:firstLine="480"/>
      </w:pPr>
      <w:r>
        <w:rPr>
          <w:rFonts w:ascii="仿宋_GB2312" w:hAnsi="仿宋_GB2312" w:cs="仿宋_GB2312" w:eastAsia="仿宋_GB2312"/>
          <w:sz w:val="24"/>
          <w:shd w:fill="FFFFFF" w:val="clear"/>
        </w:rPr>
        <w:t>7.2</w:t>
      </w:r>
      <w:r>
        <w:rPr>
          <w:rFonts w:ascii="仿宋_GB2312" w:hAnsi="仿宋_GB2312" w:cs="仿宋_GB2312" w:eastAsia="仿宋_GB2312"/>
          <w:sz w:val="24"/>
          <w:shd w:fill="FFFFFF" w:val="clear"/>
        </w:rPr>
        <w:t>服务管理与调整。根据项目实际操作过程中，存在的问题，中标人根据实际情况，发现问题，深入发现对象需求，调整方案，更好地满足服务对象需求。</w:t>
      </w:r>
    </w:p>
    <w:p>
      <w:pPr>
        <w:pStyle w:val="null3"/>
      </w:pPr>
      <w:r>
        <w:rPr>
          <w:rFonts w:ascii="仿宋_GB2312" w:hAnsi="仿宋_GB2312" w:cs="仿宋_GB2312" w:eastAsia="仿宋_GB2312"/>
          <w:sz w:val="24"/>
          <w:shd w:fill="FFFFFF" w:val="clear"/>
        </w:rPr>
        <w:t>7.3</w:t>
      </w:r>
      <w:r>
        <w:rPr>
          <w:rFonts w:ascii="仿宋_GB2312" w:hAnsi="仿宋_GB2312" w:cs="仿宋_GB2312" w:eastAsia="仿宋_GB2312"/>
          <w:sz w:val="24"/>
          <w:shd w:fill="FFFFFF" w:val="clear"/>
        </w:rPr>
        <w:t>项目评估。采用评估量化，对各指标完成情况进行对照；对项目取得成效，委托第三方开展问卷调查、自我报告、专家评估等方式进行，全面评估项目的运作情况，总结服务经验。</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自合同签订之日起至2026年7月31日。</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因系统模式固定不可修改，本表格序号1“交货时间”更改为“服务期限”。</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福建省厦门市集美区采购人指定地点。</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因系统模式固定不可修改，本表格序号3“交货地点”更改为“服务地点”。</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满足招标文件要求及合同约定条件并通过采购人考核。</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因系统模式固定不可修改，本表格序号5“交货条件”更改为“交付条件”。</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8</w:t>
            </w:r>
          </w:p>
        </w:tc>
        <w:tc>
          <w:tcPr>
            <w:tcW w:type="dxa" w:w="2076"/>
          </w:tcP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①验收依据：招标文件、中标人投标文件、采购合同及国家有关的标准规范规定，均为验收依据。②中标人在提供服务的过程中，若采购人发现其提供的服务不符合采购要求及投标响应承诺的，中标人须按采购人意见进行整改。若中标人不愿配合采购人要求进行整改，或整改不合格的，采购人有权解除合同，且不承担任何赔偿责任。</w:t>
            </w:r>
          </w:p>
        </w:tc>
      </w:tr>
      <w:tr>
        <w:tc>
          <w:tcPr>
            <w:tcW w:type="dxa" w:w="2076"/>
          </w:tcPr>
          <w:p>
            <w:pPr>
              <w:pStyle w:val="null3"/>
              <w:jc w:val="left"/>
            </w:pPr>
            <w:r>
              <w:rPr>
                <w:rFonts w:ascii="仿宋_GB2312" w:hAnsi="仿宋_GB2312" w:cs="仿宋_GB2312" w:eastAsia="仿宋_GB2312"/>
              </w:rPr>
              <w:t>9</w:t>
            </w:r>
          </w:p>
        </w:tc>
        <w:tc>
          <w:tcPr>
            <w:tcW w:type="dxa" w:w="2076"/>
          </w:tcP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1、合同签订后，达到付款条件起7日内，支付合同总金额的100.00%</w:t>
            </w:r>
          </w:p>
        </w:tc>
      </w:tr>
      <w:tr>
        <w:tc>
          <w:tcPr>
            <w:tcW w:type="dxa" w:w="2076"/>
          </w:tcPr>
          <w:p>
            <w:pPr>
              <w:pStyle w:val="null3"/>
              <w:jc w:val="left"/>
            </w:pPr>
            <w:r>
              <w:rPr>
                <w:rFonts w:ascii="仿宋_GB2312" w:hAnsi="仿宋_GB2312" w:cs="仿宋_GB2312" w:eastAsia="仿宋_GB2312"/>
              </w:rPr>
              <w:t>10</w:t>
            </w:r>
          </w:p>
        </w:tc>
        <w:tc>
          <w:tcPr>
            <w:tcW w:type="dxa" w:w="2076"/>
          </w:tcP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因系统模式固定不可修改，本表格序号9“合同签订后，达到付款条件起7日内，支付合同总金额的100.00%”更改为“1、合同签订之日起至2025年6月30日，根据考核结果结算一次，结算费用上限为各居家养老服务站月最高限价×中标折扣率×实际服务时间，根据考核分值按档次计算费用。 2、2025年7月1日至2025年9月30日，根据考核结果结算一次，结算费用上限为各居家养老服务站月最高限价×中标折扣率×3个月，根据考核分值按档次计算费用。 3、2025年10月1日至2025年12月31日，根据考核结果结算一次，结算费用上限为各居家养老服务站月最高限价×中标折扣率×3个月，根据考核分值按档次计算费用。 5、2026年1月1日至2026年3月31日，根据考核结果结算一次，结算费用上限为各居家养老服务站月最高限价×中标折扣率×3个月，根据考核分值按档次计算费用。 6、2026年4月1日至2026年7月31日，根据考核结果结算一次，结算费用上限为各居家养老服务站月最高限价×中标折扣率×3个月，根据考核分值按档次计算费用。”</w:t>
            </w:r>
          </w:p>
        </w:tc>
      </w:tr>
      <w:tr>
        <w:tc>
          <w:tcPr>
            <w:tcW w:type="dxa" w:w="2076"/>
          </w:tcPr>
          <w:p>
            <w:pPr>
              <w:pStyle w:val="null3"/>
              <w:jc w:val="left"/>
            </w:pPr>
            <w:r>
              <w:rPr>
                <w:rFonts w:ascii="仿宋_GB2312" w:hAnsi="仿宋_GB2312" w:cs="仿宋_GB2312" w:eastAsia="仿宋_GB2312"/>
              </w:rPr>
              <w:t>11</w:t>
            </w:r>
          </w:p>
        </w:tc>
        <w:tc>
          <w:tcPr>
            <w:tcW w:type="dxa" w:w="2076"/>
          </w:tcP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rPr>
        <w:t>1</w:t>
      </w:r>
      <w:r>
        <w:rPr>
          <w:rFonts w:ascii="仿宋_GB2312" w:hAnsi="仿宋_GB2312" w:cs="仿宋_GB2312" w:eastAsia="仿宋_GB2312"/>
          <w:sz w:val="24"/>
          <w:b/>
        </w:rPr>
        <w:t>、商务响应要求</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投标人具有</w:t>
      </w:r>
      <w:r>
        <w:rPr>
          <w:rFonts w:ascii="仿宋_GB2312" w:hAnsi="仿宋_GB2312" w:cs="仿宋_GB2312" w:eastAsia="仿宋_GB2312"/>
          <w:sz w:val="24"/>
        </w:rPr>
        <w:t>质量管理体系认证证书、职业健康安全管理体系认证证书、环境管理体系认证证书，且认证范围包含养老服务或社会工作专业服务相关类别的，可提供</w:t>
      </w:r>
      <w:r>
        <w:rPr>
          <w:rFonts w:ascii="仿宋_GB2312" w:hAnsi="仿宋_GB2312" w:cs="仿宋_GB2312" w:eastAsia="仿宋_GB2312"/>
          <w:sz w:val="24"/>
        </w:rPr>
        <w:t>相关证明材料。</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投标人应针对本项目提供服务团队培训制度，至少包含：①培训制度、②培训计划、③培训内容。</w:t>
      </w:r>
    </w:p>
    <w:p>
      <w:pPr>
        <w:pStyle w:val="null3"/>
        <w:ind w:firstLine="480"/>
        <w:jc w:val="left"/>
      </w:pPr>
      <w:r>
        <w:rPr>
          <w:rFonts w:ascii="仿宋_GB2312" w:hAnsi="仿宋_GB2312" w:cs="仿宋_GB2312" w:eastAsia="仿宋_GB2312"/>
          <w:sz w:val="24"/>
        </w:rPr>
        <w:t>1.3</w:t>
      </w:r>
      <w:r>
        <w:rPr>
          <w:rFonts w:ascii="仿宋_GB2312" w:hAnsi="仿宋_GB2312" w:cs="仿宋_GB2312" w:eastAsia="仿宋_GB2312"/>
          <w:sz w:val="24"/>
        </w:rPr>
        <w:t>投标人应针对本项目档案管理制度，包括但不限于服务档案模板、档案登记跟踪管理制度等。</w:t>
      </w:r>
    </w:p>
    <w:p>
      <w:pPr>
        <w:pStyle w:val="null3"/>
        <w:ind w:firstLine="480"/>
        <w:jc w:val="left"/>
      </w:pPr>
      <w:r>
        <w:rPr>
          <w:rFonts w:ascii="仿宋_GB2312" w:hAnsi="仿宋_GB2312" w:cs="仿宋_GB2312" w:eastAsia="仿宋_GB2312"/>
          <w:sz w:val="24"/>
        </w:rPr>
        <w:t>1.4</w:t>
      </w:r>
      <w:r>
        <w:rPr>
          <w:rFonts w:ascii="仿宋_GB2312" w:hAnsi="仿宋_GB2312" w:cs="仿宋_GB2312" w:eastAsia="仿宋_GB2312"/>
          <w:sz w:val="24"/>
        </w:rPr>
        <w:t>投标人应为本项目提供本地化服务，可提供合作单位协议或者自身机构的营业执照证明，也可以提供在本地设立的项目部、办公室、办事处等机构证明，或者承诺中标后20个工作日内提供本地化服务保障并提供具体措施。</w:t>
      </w:r>
    </w:p>
    <w:p>
      <w:pPr>
        <w:pStyle w:val="null3"/>
        <w:spacing w:before="75" w:after="75"/>
        <w:jc w:val="left"/>
      </w:pPr>
      <w:r>
        <w:rPr>
          <w:rFonts w:ascii="仿宋_GB2312" w:hAnsi="仿宋_GB2312" w:cs="仿宋_GB2312" w:eastAsia="仿宋_GB2312"/>
          <w:sz w:val="24"/>
          <w:b/>
        </w:rPr>
        <w:t>2</w:t>
      </w:r>
      <w:r>
        <w:rPr>
          <w:rFonts w:ascii="仿宋_GB2312" w:hAnsi="仿宋_GB2312" w:cs="仿宋_GB2312" w:eastAsia="仿宋_GB2312"/>
          <w:sz w:val="24"/>
          <w:b/>
        </w:rPr>
        <w:t>、报价要求</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本项目为整体招标采购项目，投标人必须对招标项目一览表中所有内容进行投标响应，不完整响应或拆分投标的将导致投标无效。</w:t>
      </w:r>
    </w:p>
    <w:p>
      <w:pPr>
        <w:pStyle w:val="null3"/>
        <w:ind w:firstLine="480"/>
        <w:jc w:val="left"/>
      </w:pPr>
      <w:r>
        <w:rPr>
          <w:rFonts w:ascii="仿宋_GB2312" w:hAnsi="仿宋_GB2312" w:cs="仿宋_GB2312" w:eastAsia="仿宋_GB2312"/>
          <w:sz w:val="24"/>
        </w:rPr>
        <w:t>2.2</w:t>
      </w:r>
      <w:r>
        <w:rPr>
          <w:rFonts w:ascii="仿宋_GB2312" w:hAnsi="仿宋_GB2312" w:cs="仿宋_GB2312" w:eastAsia="仿宋_GB2312"/>
          <w:sz w:val="24"/>
          <w:b/>
        </w:rPr>
        <w:t>由于本项目执行福建省政府采购网全过程网上开标评标，系统上投标报价无法按照折扣率报价，只支持各投标人报总价的方式，投标人投标时须按各自投标综合折扣率（</w:t>
      </w:r>
      <w:r>
        <w:rPr>
          <w:rFonts w:ascii="仿宋_GB2312" w:hAnsi="仿宋_GB2312" w:cs="仿宋_GB2312" w:eastAsia="仿宋_GB2312"/>
          <w:sz w:val="24"/>
          <w:b/>
          <w:shd w:fill="FFFFFF" w:val="clear"/>
        </w:rPr>
        <w:t>折扣率计算四舍五入保留至整数</w:t>
      </w:r>
      <w:r>
        <w:rPr>
          <w:rFonts w:ascii="仿宋_GB2312" w:hAnsi="仿宋_GB2312" w:cs="仿宋_GB2312" w:eastAsia="仿宋_GB2312"/>
          <w:sz w:val="24"/>
          <w:b/>
        </w:rPr>
        <w:t>）换算为各自的投标总价（公式：</w:t>
      </w:r>
      <w:r>
        <w:rPr>
          <w:rFonts w:ascii="仿宋_GB2312" w:hAnsi="仿宋_GB2312" w:cs="仿宋_GB2312" w:eastAsia="仿宋_GB2312"/>
          <w:sz w:val="24"/>
          <w:b/>
          <w:shd w:fill="FFFFFF" w:val="clear"/>
        </w:rPr>
        <w:t>2566564</w:t>
      </w:r>
      <w:r>
        <w:rPr>
          <w:rFonts w:ascii="仿宋_GB2312" w:hAnsi="仿宋_GB2312" w:cs="仿宋_GB2312" w:eastAsia="仿宋_GB2312"/>
          <w:sz w:val="24"/>
          <w:b/>
        </w:rPr>
        <w:t>元×投标综合折扣率）作为投标价填写到投标客户端中，该投标报价将作为价格分评审的依据，但不作为实际结算的金额。【</w:t>
      </w:r>
      <w:r>
        <w:rPr>
          <w:rFonts w:ascii="仿宋_GB2312" w:hAnsi="仿宋_GB2312" w:cs="仿宋_GB2312" w:eastAsia="仿宋_GB2312"/>
          <w:sz w:val="24"/>
          <w:b/>
          <w:shd w:fill="FFFFFF" w:val="clear"/>
        </w:rPr>
        <w:t>例：投标人所报综合折扣率为90%，则报价金额为2566564*90%=2309907.6元，在系统上报价金额须为2309907.6元。</w:t>
      </w:r>
      <w:r>
        <w:rPr>
          <w:rFonts w:ascii="仿宋_GB2312" w:hAnsi="仿宋_GB2312" w:cs="仿宋_GB2312" w:eastAsia="仿宋_GB2312"/>
          <w:sz w:val="24"/>
          <w:b/>
        </w:rPr>
        <w:t>投标人在投标客户端填写投标总价的时候应填写总价不得填写综合折扣率，否则作为无效报价处理。因投标人原因在投标客户端填报投标总价时填写成综合折扣率的导致系统无法正常计算价格分的视同无效报价处理。</w:t>
      </w:r>
      <w:r>
        <w:rPr>
          <w:rFonts w:ascii="仿宋_GB2312" w:hAnsi="仿宋_GB2312" w:cs="仿宋_GB2312" w:eastAsia="仿宋_GB2312"/>
          <w:sz w:val="24"/>
          <w:b/>
          <w:shd w:fill="FFFFFF" w:val="clear"/>
        </w:rPr>
        <w:t>备注：若投标人对该条款有疑问，应及时向招标代理机构咨询，咨询电话0592-5661151，否则，由此导致的报价错误等后果均由投标人自行承担。</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2.3</w:t>
      </w:r>
      <w:r>
        <w:rPr>
          <w:rFonts w:ascii="仿宋_GB2312" w:hAnsi="仿宋_GB2312" w:cs="仿宋_GB2312" w:eastAsia="仿宋_GB2312"/>
          <w:sz w:val="24"/>
        </w:rPr>
        <w:t>本项目固定单价采购项目，服务期限内中标单价保持不变。</w:t>
      </w:r>
      <w:r>
        <w:rPr>
          <w:rFonts w:ascii="仿宋_GB2312" w:hAnsi="仿宋_GB2312" w:cs="仿宋_GB2312" w:eastAsia="仿宋_GB2312"/>
          <w:sz w:val="24"/>
          <w:shd w:fill="FFFFFF" w:val="clear"/>
        </w:rPr>
        <w:t>本项目报价为服务期限内经采购人考核评估合格所发生的一切费用，其包括但不限于以下费用：人员工资以及依法计提的福利费用、服务人员培训费、督导费、宣传经费、差旅费、餐费、</w:t>
      </w:r>
      <w:r>
        <w:rPr>
          <w:rFonts w:ascii="仿宋_GB2312" w:hAnsi="仿宋_GB2312" w:cs="仿宋_GB2312" w:eastAsia="仿宋_GB2312"/>
          <w:sz w:val="24"/>
        </w:rPr>
        <w:t>保洁费</w:t>
      </w:r>
      <w:r>
        <w:rPr>
          <w:rFonts w:ascii="仿宋_GB2312" w:hAnsi="仿宋_GB2312" w:cs="仿宋_GB2312" w:eastAsia="仿宋_GB2312"/>
          <w:sz w:val="24"/>
        </w:rPr>
        <w:t>、</w:t>
      </w:r>
      <w:r>
        <w:rPr>
          <w:rFonts w:ascii="仿宋_GB2312" w:hAnsi="仿宋_GB2312" w:cs="仿宋_GB2312" w:eastAsia="仿宋_GB2312"/>
          <w:sz w:val="24"/>
        </w:rPr>
        <w:t>安全管理费、助浴费、</w:t>
      </w:r>
      <w:r>
        <w:rPr>
          <w:rFonts w:ascii="仿宋_GB2312" w:hAnsi="仿宋_GB2312" w:cs="仿宋_GB2312" w:eastAsia="仿宋_GB2312"/>
          <w:sz w:val="24"/>
        </w:rPr>
        <w:t>代办服务</w:t>
      </w:r>
      <w:r>
        <w:rPr>
          <w:rFonts w:ascii="仿宋_GB2312" w:hAnsi="仿宋_GB2312" w:cs="仿宋_GB2312" w:eastAsia="仿宋_GB2312"/>
          <w:sz w:val="24"/>
        </w:rPr>
        <w:t>费、</w:t>
      </w:r>
      <w:r>
        <w:rPr>
          <w:rFonts w:ascii="仿宋_GB2312" w:hAnsi="仿宋_GB2312" w:cs="仿宋_GB2312" w:eastAsia="仿宋_GB2312"/>
          <w:sz w:val="24"/>
        </w:rPr>
        <w:t>康复训练及护理</w:t>
      </w:r>
      <w:r>
        <w:rPr>
          <w:rFonts w:ascii="仿宋_GB2312" w:hAnsi="仿宋_GB2312" w:cs="仿宋_GB2312" w:eastAsia="仿宋_GB2312"/>
          <w:sz w:val="24"/>
        </w:rPr>
        <w:t>费、</w:t>
      </w:r>
      <w:r>
        <w:rPr>
          <w:rFonts w:ascii="仿宋_GB2312" w:hAnsi="仿宋_GB2312" w:cs="仿宋_GB2312" w:eastAsia="仿宋_GB2312"/>
          <w:sz w:val="24"/>
          <w:shd w:fill="FFFFFF" w:val="clear"/>
        </w:rPr>
        <w:t>系统运营及维护费、税费、采购代理服务费、保险费等与本项目相关的一切费用。</w:t>
      </w:r>
    </w:p>
    <w:p>
      <w:pPr>
        <w:pStyle w:val="null3"/>
        <w:ind w:firstLine="482"/>
        <w:jc w:val="left"/>
      </w:pPr>
      <w:r>
        <w:rPr>
          <w:rFonts w:ascii="仿宋_GB2312" w:hAnsi="仿宋_GB2312" w:cs="仿宋_GB2312" w:eastAsia="仿宋_GB2312"/>
          <w:sz w:val="24"/>
          <w:b/>
        </w:rPr>
        <w:t>2.4</w:t>
      </w:r>
      <w:r>
        <w:rPr>
          <w:rFonts w:ascii="仿宋_GB2312" w:hAnsi="仿宋_GB2312" w:cs="仿宋_GB2312" w:eastAsia="仿宋_GB2312"/>
          <w:sz w:val="24"/>
          <w:b/>
        </w:rPr>
        <w:t>本项目设有最高限价（即本项目预算金额），投标人的投标报价超出最高限价的，视为无效投标。</w:t>
      </w:r>
    </w:p>
    <w:p>
      <w:pPr>
        <w:pStyle w:val="null3"/>
        <w:ind w:firstLine="480"/>
        <w:jc w:val="left"/>
      </w:pPr>
      <w:r>
        <w:rPr>
          <w:rFonts w:ascii="仿宋_GB2312" w:hAnsi="仿宋_GB2312" w:cs="仿宋_GB2312" w:eastAsia="仿宋_GB2312"/>
          <w:sz w:val="24"/>
        </w:rPr>
        <w:t>2.5</w:t>
      </w:r>
      <w:r>
        <w:rPr>
          <w:rFonts w:ascii="仿宋_GB2312" w:hAnsi="仿宋_GB2312" w:cs="仿宋_GB2312" w:eastAsia="仿宋_GB2312"/>
          <w:sz w:val="24"/>
          <w:shd w:fill="FFFFFF" w:val="clear"/>
        </w:rPr>
        <w:t>投标人漏报的单价或报价中漏报、少报的费用，视为此项费用已隐含在投标总报价中，中标后不得再向采购人收取任何费用。</w:t>
      </w:r>
    </w:p>
    <w:p>
      <w:pPr>
        <w:pStyle w:val="null3"/>
        <w:ind w:firstLine="480"/>
        <w:jc w:val="left"/>
      </w:pPr>
      <w:r>
        <w:rPr>
          <w:rFonts w:ascii="仿宋_GB2312" w:hAnsi="仿宋_GB2312" w:cs="仿宋_GB2312" w:eastAsia="仿宋_GB2312"/>
          <w:sz w:val="24"/>
          <w:shd w:fill="FFFFFF" w:val="clear"/>
        </w:rPr>
        <w:t>2.6</w:t>
      </w:r>
      <w:r>
        <w:rPr>
          <w:rFonts w:ascii="仿宋_GB2312" w:hAnsi="仿宋_GB2312" w:cs="仿宋_GB2312" w:eastAsia="仿宋_GB2312"/>
          <w:sz w:val="24"/>
        </w:rPr>
        <w:t>投标人对本项目只能有一个报价，招标采购单位不接受有选择的报价。</w:t>
      </w:r>
    </w:p>
    <w:p>
      <w:pPr>
        <w:pStyle w:val="null3"/>
        <w:spacing w:before="75" w:after="75"/>
        <w:jc w:val="left"/>
      </w:pPr>
      <w:r>
        <w:rPr>
          <w:rFonts w:ascii="仿宋_GB2312" w:hAnsi="仿宋_GB2312" w:cs="仿宋_GB2312" w:eastAsia="仿宋_GB2312"/>
          <w:sz w:val="24"/>
          <w:b/>
        </w:rPr>
        <w:t>3</w:t>
      </w:r>
      <w:r>
        <w:rPr>
          <w:rFonts w:ascii="仿宋_GB2312" w:hAnsi="仿宋_GB2312" w:cs="仿宋_GB2312" w:eastAsia="仿宋_GB2312"/>
          <w:sz w:val="24"/>
          <w:b/>
        </w:rPr>
        <w:t>、重要提示：关于明确串标情节及后果的预警提示，投标人应明确知晓相应行为及后果：</w:t>
      </w:r>
    </w:p>
    <w:p>
      <w:pPr>
        <w:pStyle w:val="null3"/>
        <w:ind w:firstLine="480"/>
        <w:jc w:val="left"/>
      </w:pPr>
      <w:r>
        <w:rPr>
          <w:rFonts w:ascii="仿宋_GB2312" w:hAnsi="仿宋_GB2312" w:cs="仿宋_GB2312" w:eastAsia="仿宋_GB2312"/>
          <w:sz w:val="24"/>
        </w:rPr>
        <w:t>3.1</w:t>
      </w:r>
      <w:r>
        <w:rPr>
          <w:rFonts w:ascii="仿宋_GB2312" w:hAnsi="仿宋_GB2312" w:cs="仿宋_GB2312" w:eastAsia="仿宋_GB2312"/>
          <w:sz w:val="24"/>
        </w:rPr>
        <w:t>政府采购相关政策法规规定的恶意串通、视为串通情形：</w:t>
      </w:r>
    </w:p>
    <w:tbl>
      <w:tblPr>
        <w:tblW w:w="0" w:type="auto"/>
        <w:tblBorders>
          <w:top w:val="single"/>
          <w:left w:val="single"/>
          <w:bottom w:val="single"/>
          <w:right w:val="single"/>
          <w:insideH w:val="single"/>
          <w:insideV w:val="singl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93939"/>
                <w:shd w:fill="FFFFFF" w:val="clear"/>
              </w:rPr>
              <w:t>《中华人民共和国政府采购法实施条例》</w:t>
            </w:r>
          </w:p>
          <w:p>
            <w:pPr>
              <w:pStyle w:val="null3"/>
              <w:ind w:firstLine="480"/>
              <w:jc w:val="left"/>
            </w:pPr>
            <w:r>
              <w:rPr>
                <w:rFonts w:ascii="仿宋_GB2312" w:hAnsi="仿宋_GB2312" w:cs="仿宋_GB2312" w:eastAsia="仿宋_GB2312"/>
                <w:sz w:val="24"/>
                <w:color w:val="393939"/>
              </w:rPr>
              <w:t>第七十四条有下列情形之一的，属于恶意串通，对供应商依照政府采购法第七十七条第一款的规定追究法律责任，对采购人、采购代理机构及其工作人员依照政府采购法第七十二条的规定追究法律责任：（一）供应商直接或者间接从采购人或者采购代理机构处获得其他供应商的相关情况并修改其投标文件或者响应文件；（二）供应商按照采购人或者采购代理机构的授意撤换、修改投标文件或者响应文件；（三）供应商之间协商报价、技术方案等投标文件或者响应文件的实质性内容；（四）属于同一集团、协会、商会等组织成员的供应商按照该组织要求协同参加政府采购活动；（五）供应商之间事先约定由某一特定供应商中标、成交；（六）供应商之间商定部分供应商放弃参加政府采购活动或者放弃中标、成交；（七）供应商与采购人或者采购代理机构之间、供应商</w:t>
            </w:r>
            <w:r>
              <w:rPr>
                <w:rFonts w:ascii="仿宋_GB2312" w:hAnsi="仿宋_GB2312" w:cs="仿宋_GB2312" w:eastAsia="仿宋_GB2312"/>
                <w:sz w:val="24"/>
                <w:color w:val="393939"/>
                <w:shd w:fill="FFFFFF" w:val="clear"/>
              </w:rPr>
              <w:t>相互之间，为谋求特定供应商中标、成交或者排斥其他供应商的其他串通行为。</w:t>
            </w:r>
          </w:p>
          <w:p>
            <w:pPr>
              <w:pStyle w:val="null3"/>
              <w:jc w:val="center"/>
            </w:pPr>
            <w:r>
              <w:rPr>
                <w:rFonts w:ascii="仿宋_GB2312" w:hAnsi="仿宋_GB2312" w:cs="仿宋_GB2312" w:eastAsia="仿宋_GB2312"/>
                <w:sz w:val="24"/>
                <w:color w:val="393939"/>
                <w:shd w:fill="FFFFFF" w:val="clear"/>
              </w:rPr>
              <w:t>《政府采购货物和服务招标投标管理办法》</w:t>
            </w:r>
          </w:p>
          <w:p>
            <w:pPr>
              <w:pStyle w:val="null3"/>
              <w:ind w:firstLine="480"/>
              <w:jc w:val="left"/>
            </w:pPr>
            <w:r>
              <w:rPr>
                <w:rFonts w:ascii="仿宋_GB2312" w:hAnsi="仿宋_GB2312" w:cs="仿宋_GB2312" w:eastAsia="仿宋_GB2312"/>
                <w:sz w:val="24"/>
                <w:color w:val="393939"/>
                <w:shd w:fill="FFFFFF" w:val="clear"/>
              </w:rPr>
              <w:t>第三十七条有下列情形之一的，视为投标人串通投标，其投标无效：（一）不同投标人的投标文件由同一单位或者个人编制；（二）不同投标人委托同一单位或者个人办理投标事宜；（三）不同投标人的投标文件载明的项目管理成员或者联系人员为同一人；（四）不同</w:t>
            </w:r>
            <w:r>
              <w:rPr>
                <w:rFonts w:ascii="仿宋_GB2312" w:hAnsi="仿宋_GB2312" w:cs="仿宋_GB2312" w:eastAsia="仿宋_GB2312"/>
                <w:sz w:val="24"/>
                <w:color w:val="393939"/>
              </w:rPr>
              <w:t>投标人</w:t>
            </w:r>
            <w:r>
              <w:rPr>
                <w:rFonts w:ascii="仿宋_GB2312" w:hAnsi="仿宋_GB2312" w:cs="仿宋_GB2312" w:eastAsia="仿宋_GB2312"/>
                <w:sz w:val="24"/>
                <w:color w:val="393939"/>
                <w:shd w:fill="FFFFFF" w:val="clear"/>
              </w:rPr>
              <w:t xml:space="preserve">的投标文件异常一致或者投标报价呈规律性差异；（五）不同投标人的投标文件相互混装；（六）不同投标人的投标保证金从同一单位或者个人的账户转出。 </w:t>
            </w:r>
          </w:p>
        </w:tc>
      </w:tr>
    </w:tbl>
    <w:p>
      <w:pPr>
        <w:pStyle w:val="null3"/>
        <w:ind w:firstLine="480"/>
        <w:jc w:val="left"/>
      </w:pPr>
      <w:r>
        <w:rPr>
          <w:rFonts w:ascii="仿宋_GB2312" w:hAnsi="仿宋_GB2312" w:cs="仿宋_GB2312" w:eastAsia="仿宋_GB2312"/>
          <w:sz w:val="24"/>
        </w:rPr>
        <w:t>3.2</w:t>
      </w:r>
      <w:r>
        <w:rPr>
          <w:rFonts w:ascii="仿宋_GB2312" w:hAnsi="仿宋_GB2312" w:cs="仿宋_GB2312" w:eastAsia="仿宋_GB2312"/>
          <w:sz w:val="24"/>
        </w:rPr>
        <w:t>政府采购相关政策法规规定的供应商恶意串通需承担的后果</w:t>
      </w:r>
    </w:p>
    <w:tbl>
      <w:tblPr>
        <w:tblW w:w="0" w:type="auto"/>
        <w:tblBorders>
          <w:top w:val="single"/>
          <w:left w:val="single"/>
          <w:bottom w:val="single"/>
          <w:right w:val="single"/>
          <w:insideH w:val="single"/>
          <w:insideV w:val="singl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93939"/>
              </w:rPr>
              <w:t>《中华人民共和国政府采购法》</w:t>
            </w:r>
          </w:p>
          <w:p>
            <w:pPr>
              <w:pStyle w:val="null3"/>
              <w:ind w:firstLine="480"/>
              <w:jc w:val="left"/>
            </w:pPr>
            <w:r>
              <w:rPr>
                <w:rFonts w:ascii="仿宋_GB2312" w:hAnsi="仿宋_GB2312" w:cs="仿宋_GB2312" w:eastAsia="仿宋_GB2312"/>
                <w:sz w:val="24"/>
                <w:color w:val="393939"/>
              </w:rPr>
              <w:t>第七十七条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二）采取不正当手段诋毁、排挤其他供应商的；（三）与采购人、其他供应商或者采购代理机构恶意串通的。</w:t>
            </w:r>
          </w:p>
        </w:tc>
      </w:tr>
    </w:tbl>
    <w:p>
      <w:pPr>
        <w:pStyle w:val="null3"/>
        <w:ind w:firstLine="480"/>
        <w:jc w:val="left"/>
      </w:pPr>
      <w:r>
        <w:rPr>
          <w:rFonts w:ascii="仿宋_GB2312" w:hAnsi="仿宋_GB2312" w:cs="仿宋_GB2312" w:eastAsia="仿宋_GB2312"/>
          <w:sz w:val="24"/>
        </w:rPr>
        <w:t>3.3</w:t>
      </w:r>
      <w:r>
        <w:rPr>
          <w:rFonts w:ascii="仿宋_GB2312" w:hAnsi="仿宋_GB2312" w:cs="仿宋_GB2312" w:eastAsia="仿宋_GB2312"/>
          <w:sz w:val="24"/>
        </w:rPr>
        <w:t>《关于电子化政府采购项目中视为串标情形认定与处理的指导意见》</w:t>
      </w:r>
    </w:p>
    <w:tbl>
      <w:tblPr>
        <w:tblW w:w="0" w:type="auto"/>
        <w:tblBorders>
          <w:top w:val="single"/>
          <w:left w:val="single"/>
          <w:bottom w:val="single"/>
          <w:right w:val="single"/>
          <w:insideH w:val="single"/>
          <w:insideV w:val="singl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93939"/>
              </w:rPr>
              <w:t>关于电子化政府采购项目中视为串标情形认定与处理的指导意见</w:t>
            </w:r>
          </w:p>
          <w:p>
            <w:pPr>
              <w:pStyle w:val="null3"/>
              <w:jc w:val="center"/>
            </w:pPr>
            <w:r>
              <w:rPr>
                <w:rFonts w:ascii="仿宋_GB2312" w:hAnsi="仿宋_GB2312" w:cs="仿宋_GB2312" w:eastAsia="仿宋_GB2312"/>
                <w:sz w:val="24"/>
                <w:color w:val="393939"/>
              </w:rPr>
              <w:t>闽财购〔2018〕30号</w:t>
            </w:r>
          </w:p>
          <w:p>
            <w:pPr>
              <w:pStyle w:val="null3"/>
              <w:jc w:val="left"/>
            </w:pPr>
            <w:r>
              <w:rPr>
                <w:rFonts w:ascii="仿宋_GB2312" w:hAnsi="仿宋_GB2312" w:cs="仿宋_GB2312" w:eastAsia="仿宋_GB2312"/>
                <w:sz w:val="24"/>
                <w:color w:val="393939"/>
              </w:rPr>
              <w:t>省直各单位，各设区市财政局、平潭综合实验区财政金融局，各政府采购代理机构：</w:t>
            </w:r>
          </w:p>
          <w:p>
            <w:pPr>
              <w:pStyle w:val="null3"/>
              <w:ind w:firstLine="480"/>
              <w:jc w:val="left"/>
            </w:pPr>
            <w:r>
              <w:rPr>
                <w:rFonts w:ascii="仿宋_GB2312" w:hAnsi="仿宋_GB2312" w:cs="仿宋_GB2312" w:eastAsia="仿宋_GB2312"/>
                <w:sz w:val="24"/>
                <w:color w:val="393939"/>
              </w:rPr>
              <w:t xml:space="preserve">为进一步规范我省政府采购市场秩序，有效遏制串通投标等违法行为，根据《中华人民共和国政府采购法》《中华人民共和国政府采购法实施条例》和《政府采购货物和服务招标投标管理办法》（财政部令第87号）等有关法律法规和规章，结合我省电子化政府采购项目特点，现对电子化政府采购项目中视为串通的情形及处理提出以下指导意见： </w:t>
            </w:r>
          </w:p>
          <w:p>
            <w:pPr>
              <w:pStyle w:val="null3"/>
              <w:jc w:val="left"/>
            </w:pPr>
            <w:r>
              <w:rPr>
                <w:rFonts w:ascii="仿宋_GB2312" w:hAnsi="仿宋_GB2312" w:cs="仿宋_GB2312" w:eastAsia="仿宋_GB2312"/>
                <w:sz w:val="24"/>
                <w:color w:val="393939"/>
              </w:rPr>
              <w:t>一、电子化招标项目视为串通情形的认定</w:t>
            </w:r>
          </w:p>
          <w:p>
            <w:pPr>
              <w:pStyle w:val="null3"/>
              <w:jc w:val="left"/>
            </w:pPr>
            <w:r>
              <w:rPr>
                <w:rFonts w:ascii="仿宋_GB2312" w:hAnsi="仿宋_GB2312" w:cs="仿宋_GB2312" w:eastAsia="仿宋_GB2312"/>
                <w:sz w:val="24"/>
                <w:color w:val="393939"/>
              </w:rPr>
              <w:t>（一）保证金验核阶段</w:t>
            </w:r>
          </w:p>
          <w:p>
            <w:pPr>
              <w:pStyle w:val="null3"/>
              <w:ind w:firstLine="480"/>
              <w:jc w:val="left"/>
            </w:pPr>
            <w:r>
              <w:rPr>
                <w:rFonts w:ascii="仿宋_GB2312" w:hAnsi="仿宋_GB2312" w:cs="仿宋_GB2312" w:eastAsia="仿宋_GB2312"/>
                <w:sz w:val="24"/>
                <w:color w:val="393939"/>
              </w:rPr>
              <w:t xml:space="preserve">不同投标人的投标保证金转出账户的银行账户名称相同的，属于《政府采购货物和服务招标投标管理办法》（财政部令第87号）第三十七条第（六）项“不同投标人的投标保证金从同一单位或者个人的账户转出”的情形。  </w:t>
            </w:r>
          </w:p>
          <w:p>
            <w:pPr>
              <w:pStyle w:val="null3"/>
              <w:jc w:val="left"/>
            </w:pPr>
            <w:r>
              <w:rPr>
                <w:rFonts w:ascii="仿宋_GB2312" w:hAnsi="仿宋_GB2312" w:cs="仿宋_GB2312" w:eastAsia="仿宋_GB2312"/>
                <w:sz w:val="24"/>
                <w:color w:val="393939"/>
              </w:rPr>
              <w:t>（二）电子响应文件解密阶段</w:t>
            </w:r>
          </w:p>
          <w:p>
            <w:pPr>
              <w:pStyle w:val="null3"/>
              <w:ind w:firstLine="420"/>
              <w:jc w:val="left"/>
            </w:pPr>
            <w:r>
              <w:rPr>
                <w:rFonts w:ascii="仿宋_GB2312" w:hAnsi="仿宋_GB2312" w:cs="仿宋_GB2312" w:eastAsia="仿宋_GB2312"/>
                <w:sz w:val="24"/>
                <w:color w:val="393939"/>
              </w:rPr>
              <w:t xml:space="preserve">电子响应文件的个性特征与本采购项目的其他响应人存在雷同的，按照以下方式进行认定： </w:t>
            </w:r>
          </w:p>
          <w:p>
            <w:pPr>
              <w:pStyle w:val="null3"/>
              <w:ind w:firstLine="480"/>
              <w:jc w:val="left"/>
            </w:pPr>
            <w:r>
              <w:rPr>
                <w:rFonts w:ascii="仿宋_GB2312" w:hAnsi="仿宋_GB2312" w:cs="仿宋_GB2312" w:eastAsia="仿宋_GB2312"/>
                <w:sz w:val="24"/>
                <w:color w:val="393939"/>
              </w:rPr>
              <w:t>1.</w:t>
            </w:r>
            <w:r>
              <w:rPr>
                <w:rFonts w:ascii="仿宋_GB2312" w:hAnsi="仿宋_GB2312" w:cs="仿宋_GB2312" w:eastAsia="仿宋_GB2312"/>
                <w:sz w:val="24"/>
                <w:color w:val="393939"/>
              </w:rPr>
              <w:t xml:space="preserve">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   </w:t>
            </w:r>
          </w:p>
          <w:p>
            <w:pPr>
              <w:pStyle w:val="null3"/>
              <w:ind w:firstLine="480"/>
              <w:jc w:val="left"/>
            </w:pPr>
            <w:r>
              <w:rPr>
                <w:rFonts w:ascii="仿宋_GB2312" w:hAnsi="仿宋_GB2312" w:cs="仿宋_GB2312" w:eastAsia="仿宋_GB2312"/>
                <w:sz w:val="24"/>
                <w:color w:val="393939"/>
              </w:rPr>
              <w:t>2.</w:t>
            </w:r>
            <w:r>
              <w:rPr>
                <w:rFonts w:ascii="仿宋_GB2312" w:hAnsi="仿宋_GB2312" w:cs="仿宋_GB2312" w:eastAsia="仿宋_GB2312"/>
                <w:sz w:val="24"/>
                <w:color w:val="393939"/>
              </w:rPr>
              <w:t xml:space="preserve">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  </w:t>
            </w:r>
          </w:p>
          <w:p>
            <w:pPr>
              <w:pStyle w:val="null3"/>
              <w:ind w:firstLine="480"/>
              <w:jc w:val="left"/>
            </w:pPr>
            <w:r>
              <w:rPr>
                <w:rFonts w:ascii="仿宋_GB2312" w:hAnsi="仿宋_GB2312" w:cs="仿宋_GB2312" w:eastAsia="仿宋_GB2312"/>
                <w:sz w:val="24"/>
                <w:color w:val="393939"/>
              </w:rPr>
              <w:t>3.</w:t>
            </w:r>
            <w:r>
              <w:rPr>
                <w:rFonts w:ascii="仿宋_GB2312" w:hAnsi="仿宋_GB2312" w:cs="仿宋_GB2312" w:eastAsia="仿宋_GB2312"/>
                <w:sz w:val="24"/>
                <w:color w:val="393939"/>
              </w:rPr>
              <w:t xml:space="preserve">投标人上传的电子投标文件若出现使用本项目其他投标人的数字证书加密的或加盖本项目的其他投标人的电子印章的，属于《政府采购货物和服务招标投标管理办法236（财政部令第87号）第三十七条第（五）项“不同投标人的投标文件相互混装”的情形。  </w:t>
            </w:r>
          </w:p>
          <w:p>
            <w:pPr>
              <w:pStyle w:val="null3"/>
              <w:jc w:val="left"/>
            </w:pPr>
            <w:r>
              <w:rPr>
                <w:rFonts w:ascii="仿宋_GB2312" w:hAnsi="仿宋_GB2312" w:cs="仿宋_GB2312" w:eastAsia="仿宋_GB2312"/>
                <w:sz w:val="24"/>
                <w:color w:val="393939"/>
              </w:rPr>
              <w:t>二、电子化非招标项目视为串通情形的认定</w:t>
            </w:r>
          </w:p>
          <w:p>
            <w:pPr>
              <w:pStyle w:val="null3"/>
              <w:ind w:firstLine="480"/>
              <w:jc w:val="left"/>
            </w:pPr>
            <w:r>
              <w:rPr>
                <w:rFonts w:ascii="仿宋_GB2312" w:hAnsi="仿宋_GB2312" w:cs="仿宋_GB2312" w:eastAsia="仿宋_GB2312"/>
                <w:sz w:val="24"/>
                <w:color w:val="393939"/>
              </w:rPr>
              <w:t xml:space="preserve">电子化非招标项目（包括竞争性谈判、竞争性磋商、询价）中出现本意见第一点所列情形的，属于《中华人民共和国政府采购法实施条例》第七十四条第（七）项“供应商与采购人或者采购代理机构之间、供应商相互之间，为谋求特定供应商中标、成交或者排斥其他供应商的其他串通行为”。  </w:t>
            </w:r>
          </w:p>
          <w:p>
            <w:pPr>
              <w:pStyle w:val="null3"/>
              <w:jc w:val="left"/>
            </w:pPr>
            <w:r>
              <w:rPr>
                <w:rFonts w:ascii="仿宋_GB2312" w:hAnsi="仿宋_GB2312" w:cs="仿宋_GB2312" w:eastAsia="仿宋_GB2312"/>
                <w:sz w:val="24"/>
                <w:color w:val="393939"/>
              </w:rPr>
              <w:t>三、电子化项目视为串通情形的处理</w:t>
            </w:r>
          </w:p>
          <w:p>
            <w:pPr>
              <w:pStyle w:val="null3"/>
              <w:ind w:firstLine="480"/>
              <w:jc w:val="left"/>
            </w:pPr>
            <w:r>
              <w:rPr>
                <w:rFonts w:ascii="仿宋_GB2312" w:hAnsi="仿宋_GB2312" w:cs="仿宋_GB2312" w:eastAsia="仿宋_GB2312"/>
                <w:sz w:val="24"/>
                <w:color w:val="393939"/>
              </w:rPr>
              <w:t xml:space="preserve">采购人、采购代理机构应当将上述情形在采购文件中予以明确。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各级财政部门收到书面报告的，应当组织开展调查，并依法追究法律责任。 </w:t>
            </w:r>
          </w:p>
          <w:p>
            <w:pPr>
              <w:pStyle w:val="null3"/>
              <w:ind w:firstLine="480"/>
              <w:jc w:val="left"/>
            </w:pPr>
            <w:r>
              <w:rPr>
                <w:rFonts w:ascii="仿宋_GB2312" w:hAnsi="仿宋_GB2312" w:cs="仿宋_GB2312" w:eastAsia="仿宋_GB2312"/>
                <w:sz w:val="24"/>
                <w:color w:val="393939"/>
              </w:rPr>
              <w:t xml:space="preserve">投标人（响应人）未缴纳保证金或未上传电子投标文件（包括投标截止时间前撤回投标文件）或未按采购文件的要求于规定时间内解密采购文件的，不进行串通情形的认定。 </w:t>
            </w:r>
          </w:p>
          <w:p>
            <w:pPr>
              <w:pStyle w:val="null3"/>
              <w:ind w:firstLine="480"/>
              <w:jc w:val="left"/>
            </w:pPr>
            <w:r>
              <w:rPr>
                <w:rFonts w:ascii="仿宋_GB2312" w:hAnsi="仿宋_GB2312" w:cs="仿宋_GB2312" w:eastAsia="仿宋_GB2312"/>
                <w:sz w:val="24"/>
                <w:color w:val="393939"/>
              </w:rPr>
              <w:t>本意见自2019年1月1日起执行。</w:t>
            </w:r>
          </w:p>
          <w:p>
            <w:pPr>
              <w:pStyle w:val="null3"/>
              <w:jc w:val="right"/>
            </w:pPr>
            <w:r>
              <w:rPr>
                <w:rFonts w:ascii="仿宋_GB2312" w:hAnsi="仿宋_GB2312" w:cs="仿宋_GB2312" w:eastAsia="仿宋_GB2312"/>
                <w:sz w:val="24"/>
                <w:color w:val="393939"/>
              </w:rPr>
              <w:t>福建省财政厅</w:t>
            </w:r>
          </w:p>
          <w:p>
            <w:pPr>
              <w:pStyle w:val="null3"/>
              <w:jc w:val="right"/>
            </w:pPr>
            <w:r>
              <w:rPr>
                <w:rFonts w:ascii="仿宋_GB2312" w:hAnsi="仿宋_GB2312" w:cs="仿宋_GB2312" w:eastAsia="仿宋_GB2312"/>
                <w:sz w:val="24"/>
                <w:color w:val="393939"/>
              </w:rPr>
              <w:t>2018</w:t>
            </w:r>
            <w:r>
              <w:rPr>
                <w:rFonts w:ascii="仿宋_GB2312" w:hAnsi="仿宋_GB2312" w:cs="仿宋_GB2312" w:eastAsia="仿宋_GB2312"/>
                <w:sz w:val="24"/>
                <w:color w:val="393939"/>
              </w:rPr>
              <w:t>年11月12日</w:t>
            </w:r>
          </w:p>
        </w:tc>
      </w:tr>
    </w:tbl>
    <w:p>
      <w:pPr>
        <w:pStyle w:val="null3"/>
        <w:ind w:firstLine="480"/>
        <w:jc w:val="left"/>
      </w:pPr>
      <w:r>
        <w:rPr>
          <w:rFonts w:ascii="仿宋_GB2312" w:hAnsi="仿宋_GB2312" w:cs="仿宋_GB2312" w:eastAsia="仿宋_GB2312"/>
          <w:sz w:val="24"/>
        </w:rPr>
        <w:t>3.4</w:t>
      </w:r>
      <w:r>
        <w:rPr>
          <w:rFonts w:ascii="仿宋_GB2312" w:hAnsi="仿宋_GB2312" w:cs="仿宋_GB2312" w:eastAsia="仿宋_GB2312"/>
          <w:sz w:val="24"/>
        </w:rPr>
        <w:t>投标人存在恶意串通、视为串通情形的，采购人、采购代理机构将按规定认定其投标（响应）无效，没收其保证金，并将不予退还的保证金于投标截止时间次月十日（遇法定节假日顺延）前统一上缴国库；并要求相关投标人在5个工作日内对恶意串通、视为串通的情形作出解释说明，提供相关证据证明。</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2.1本项目不限定或指定特定的专利、商标、品牌、原产地或者供应商。 2.2若本项目需要投标人缴交投标保证金，若投标人为中小企业的，且出具《政府采购促进中小企业发展管理办法》(财库〔2020〕46号)规定的《中小企业声明函》，则可按采购文件要求的投标保证金数额的50%提交投标保证金。 2.3若本项目需要投标人缴交履约保证金，若投标人为中小企业的，且出具《政府采购促进中小企业发展管理办法》(财库〔2020〕46号)规定的《中小企业声明函》，则可按采购文件要求的履约保证金数额的50%提交履约保证金（缴交方式不限）。2.4采购人将在合同履约完毕且无合同纠纷后7个工作日内向供 应商退清履约保证金。 2.4本项目支持投标人合同融资，具体参见《关于促进中小企业政府采购合同融资健康开展的通知》（闽财购函〔2019〕16号）和《关于印发&lt;福建省支持中小企业政府采购合同融资暂行办法&gt;的通知》（闽财购〔2018〕7号）等相关政策规定。 2.5本项目招标文件要求的投标响应材料，若属于可以通过互联网或者相关信息系统查询的信息，投标人可在投标文件中提供相应的互联网或者相关信息系统的查询网址或查询方式后，不再需要提供此类投标响应材料。投标人对所提供的查询网址或查询方式的有效性和真实性负责。 2.6根据规定可享受价格扣除的投标人，应在客户端系统中的“价格扣除---小型、微型企业，监狱企业，残疾人”模块提交招标文件要求的材料，不符合要求的不予以扣除。投标人应当对出具的《中小企业声明函》真实性负责，投标人出具的《中小企业声明函》内容不实的，属于提供虚假材料谋取中标。投标人应注意： ①投标人若欲享受中小企业扶持政策，应根据本项目中小企业划分标准所属行业，依据《中小企业划型标准规定》工信部联企业〔2011〕300号文进行认定在投标文件中提交《中小企业声明函》，投标人提供的《中小企业声明函》中填写的行业应与招标文件规定的一致，不一致或不符合的将承担不利后果。 ②根据《中小企业划型标准规定》（工信部联企业〔2011〕300号）规定“其他未列明行业”划型标准为：从业人员300人以下的为中小微型企业。其中，从业人员100人及以上的为中型企业；从业人员10人及以上的为小型企业；从业人员10人以下的为微型企业。 2.7投标人现场参与投标的应在投标截止时间前将投标人的CA证书（建议在CA 证书上粘贴投标人单位名称，避免混乱误领）送达招标文件第一章第10条载明的地点并签到（“远程开标”除外）。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[350211]FX[GK]2025007</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2025年-2026年杏林街道养老服务设施专业化运营</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1(2025年-2026年杏林街道养老服务设施专业化运营)</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2025年-2026年杏林街道养老服务设施专业化运营</w:t>
            </w:r>
          </w:p>
        </w:tc>
        <w:tc>
          <w:tcPr>
            <w:tcW w:type="dxa" w:w="1661"/>
          </w:tcPr>
          <w:p>
            <w:pPr>
              <w:pStyle w:val="null3"/>
              <w:jc w:val="left"/>
            </w:pPr>
            <w:r>
              <w:rPr>
                <w:rFonts w:ascii="仿宋_GB2312" w:hAnsi="仿宋_GB2312" w:cs="仿宋_GB2312" w:eastAsia="仿宋_GB2312"/>
              </w:rPr>
              <w:t xml:space="preserve"> 2566564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[350211]FX[GK]2025007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2025年-2026年杏林街道养老服务设施专业化运营</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2025年-2026年杏林街道养老服务设施专业化运营</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2025年-2026年杏林街道养老服务设施专业化运营</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2025年-2026年杏林街道养老服务设施专业化运营</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2566564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