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厦门市集美区纪检监察事务中心办公楼物业管理服务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CGXM-2025-350211-00119[2025]00041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[350211]XHT[CS]2025001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厦门市集美区机关后勤保障中心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厦门兴恒泰招标有限公司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2025年05月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厦门市集美区机关后勤保障中心</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厦门市集美区纪检监察事务中心办公楼物业管理服务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厦门兴恒泰招标有限公司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厦门市集美区纪检监察事务中心办公楼物业管理服务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CGXM-2025-350211-00119[2025]00041</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[350211]XHT[CS]2025001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1,200,000.00</w:t>
      </w:r>
    </w:p>
    <w:p>
      <w:pPr>
        <w:pStyle w:val="null3"/>
        <w:jc w:val="left"/>
      </w:pPr>
      <w:r>
        <w:rPr>
          <w:rFonts w:ascii="仿宋_GB2312" w:hAnsi="仿宋_GB2312" w:cs="仿宋_GB2312" w:eastAsia="仿宋_GB2312"/>
        </w:rPr>
        <w:t>采购包最高限价（元）: 1,200,000.00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厦门市集美区纪检监察事务中心办公楼物业管理服务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1,200,000.00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物业管理</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厦门市集美区纪检监察事务中心办公楼物业管理服务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厦门市集美区纪检监察事务中心办公楼物业管理服务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厦门市集美区纪检监察事务中心办公楼物业管理服务</w:t>
            </w:r>
          </w:p>
        </w:tc>
        <w:tc>
          <w:tcPr>
            <w:tcW w:type="dxa" w:w="2076"/>
          </w:tcPr>
          <w:p>
            <w:pPr>
              <w:pStyle w:val="null3"/>
              <w:jc w:val="left"/>
            </w:pPr>
            <w:r>
              <w:rPr>
                <w:rFonts w:ascii="仿宋_GB2312" w:hAnsi="仿宋_GB2312" w:cs="仿宋_GB2312" w:eastAsia="仿宋_GB2312"/>
              </w:rPr>
              <w:t>报价不得超过磋商文件规定的最高限价</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执行本合同包所需的设备及专业技术能力特别要求(本文件中描述与此处不一致的，以此处为准)</w:t>
            </w:r>
          </w:p>
        </w:tc>
        <w:tc>
          <w:tcPr>
            <w:tcW w:type="dxa" w:w="4614"/>
          </w:tcPr>
          <w:p>
            <w:pPr>
              <w:pStyle w:val="null3"/>
              <w:jc w:val="left"/>
            </w:pPr>
            <w:r>
              <w:rPr>
                <w:rFonts w:ascii="仿宋_GB2312" w:hAnsi="仿宋_GB2312" w:cs="仿宋_GB2312" w:eastAsia="仿宋_GB2312"/>
              </w:rPr>
              <w:t>指提供履行合同所必需的设备和专业技术能力的声明函。</w:t>
            </w:r>
          </w:p>
        </w:tc>
      </w:tr>
      <w:tr>
        <w:tc>
          <w:tcPr>
            <w:tcW w:type="dxa" w:w="3692"/>
          </w:tcPr>
          <w:p>
            <w:pPr>
              <w:pStyle w:val="null3"/>
              <w:jc w:val="left"/>
            </w:pPr>
            <w:r>
              <w:rPr>
                <w:rFonts w:ascii="仿宋_GB2312" w:hAnsi="仿宋_GB2312" w:cs="仿宋_GB2312" w:eastAsia="仿宋_GB2312"/>
              </w:rPr>
              <w:t>落实政府采购政策的证明材料(专门面向中小企业采购)</w:t>
            </w:r>
          </w:p>
        </w:tc>
        <w:tc>
          <w:tcPr>
            <w:tcW w:type="dxa" w:w="4614"/>
          </w:tcPr>
          <w:p>
            <w:pPr>
              <w:pStyle w:val="null3"/>
              <w:jc w:val="left"/>
            </w:pPr>
            <w:r>
              <w:rPr>
                <w:rFonts w:ascii="仿宋_GB2312" w:hAnsi="仿宋_GB2312" w:cs="仿宋_GB2312" w:eastAsia="仿宋_GB2312"/>
              </w:rPr>
              <w:t>本项目专门面向中小企业采购，非中小企业的将被拒绝，须提供相关证明材料：1、供应商提供的服务应符合《政府采购促进中小企业发展管理办法》(财库〔2020〕46号) 第四条规定的情形，且应当提供《政府采购促进中小企业发展管理办法》(财库〔2020〕46号)规定的《中小企业声明函》，格式见第五章首次响应文件格式。本项目采购标的对应的中小企业划分标准所属行业详见“附2：采购标的一览表”中的所属行业，应对应填写《中小企业声明函》（工程、服务）模板，若供应商填写的《中小企业声明函》不是对应模板的或者提供的《中小企业声明函》中填写的行业与磋商文件明确的采购标的对应的中小企业划分标准所属行业不一致，均不予认定为中小企业。 2、供应商为监狱企业的视同小型和微型企业，可不提供以上第1材料，但应当提供由省级以上监狱管理局、戒毒管理局(含新疆生产建设兵团)出具的属于监狱企业的证明文件。 3、供应商为残疾人福利性单位的视同小型和微型企业，可不提供以上第1点材料，但应当提供《残疾人福利性单位声明函》，格式见第五章《响应文件格式》附件。</w:t>
            </w:r>
          </w:p>
        </w:tc>
      </w:tr>
      <w:tr>
        <w:tc>
          <w:tcPr>
            <w:tcW w:type="dxa" w:w="3692"/>
          </w:tcPr>
          <w:p>
            <w:pPr>
              <w:pStyle w:val="null3"/>
              <w:jc w:val="left"/>
            </w:pPr>
            <w:r>
              <w:rPr>
                <w:rFonts w:ascii="仿宋_GB2312" w:hAnsi="仿宋_GB2312" w:cs="仿宋_GB2312" w:eastAsia="仿宋_GB2312"/>
              </w:rPr>
              <w:t>信用记录查询结果(本文件中描述与此处不一致的，以此处为准)</w:t>
            </w:r>
          </w:p>
        </w:tc>
        <w:tc>
          <w:tcPr>
            <w:tcW w:type="dxa" w:w="4614"/>
          </w:tcPr>
          <w:p>
            <w:pPr>
              <w:pStyle w:val="null3"/>
              <w:jc w:val="left"/>
            </w:pPr>
            <w:r>
              <w:rPr>
                <w:rFonts w:ascii="仿宋_GB2312" w:hAnsi="仿宋_GB2312" w:cs="仿宋_GB2312" w:eastAsia="仿宋_GB2312"/>
              </w:rPr>
              <w:t>信用记录查询结果(本文件中描述与此处不一致的，以此处为准) ①信用记录查询的截止时点：信用记录查询的截止时点为本项目磋商截止当日。②信用记录查询渠道：信用中国（www.creditchina.gov.cn）、中国政府采购网（www.ccgp.gov.cn）、信用厦门(credit.xm.gov.cn)。③信用记录的查询：由磋商小组通过上述网站查询并打印供应商的信用记录。④经查询，供应商参加本项目采购活动(磋商截止时间)前三年内被列入失信被执行人名单、重大税收违法案件当事人名单、政府采购严重违法失信行为记录名单及其他重大违法记录且相关信用惩戒期限未满的，其资格审查不合格。⑤因查询渠道网站原因导致查无供应商信息的，不认定供应商资格审查不合格；评审结束后，通过其他渠道发现供应商存在不良信用记录的，不认定为资格审查错误，将依照有关规定进行调查处理。⑥本项目不要求供应商在其首次响应文件中提供信用记录查询结果（但供应商应在参加采购活动前查询并了解自身的信用记录情况）。若供应商自行提供查询结果的，仍以磋商小组查询结果为准。</w:t>
            </w:r>
          </w:p>
        </w:tc>
      </w:tr>
      <w:tr>
        <w:tc>
          <w:tcPr>
            <w:tcW w:type="dxa" w:w="3692"/>
          </w:tcPr>
          <w:p>
            <w:pPr>
              <w:pStyle w:val="null3"/>
              <w:jc w:val="left"/>
            </w:pPr>
            <w:r>
              <w:rPr>
                <w:rFonts w:ascii="仿宋_GB2312" w:hAnsi="仿宋_GB2312" w:cs="仿宋_GB2312" w:eastAsia="仿宋_GB2312"/>
              </w:rPr>
              <w:t>资格承诺函（若有）</w:t>
            </w:r>
          </w:p>
        </w:tc>
        <w:tc>
          <w:tcPr>
            <w:tcW w:type="dxa" w:w="4614"/>
          </w:tcPr>
          <w:p>
            <w:pPr>
              <w:pStyle w:val="null3"/>
              <w:jc w:val="left"/>
            </w:pPr>
            <w:r>
              <w:rPr>
                <w:rFonts w:ascii="仿宋_GB2312" w:hAnsi="仿宋_GB2312" w:cs="仿宋_GB2312" w:eastAsia="仿宋_GB2312"/>
              </w:rPr>
              <w:t>供应商提供《政府采购供应商资格承诺函》的，在响应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 注： ①供应商可自行选择是否提供本承诺函，若不提供本承诺函的，应按磋商文件要求提供相应的证明材料。②供应商应对其承诺内容的真实性、合法性、有效性负责。③供应商应当遵循诚实守信的原则，不得作出虚假承诺，承诺不实的，属于提供虚假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厦门市集美区机关后勤保障中心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福建省厦门市集美区岑东路168号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361021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万先生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0592-6256268</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厦门兴恒泰招标有限公司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厦门市湖里区后坑前社318号企鸣财富中心C栋505室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361010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陈强妹</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13559185482</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厦门兴恒泰招标有限公司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执行本合同包所需的设备及专业技术能力特别要求(本文件中描述与此处不一致的，以此处为准)</w:t>
                  </w:r>
                </w:p>
              </w:tc>
              <w:tc>
                <w:tcPr>
                  <w:tcW w:type="dxa" w:w="1418"/>
                </w:tcPr>
                <w:p>
                  <w:pPr>
                    <w:pStyle w:val="null3"/>
                    <w:jc w:val="left"/>
                  </w:pPr>
                  <w:r>
                    <w:rPr>
                      <w:rFonts w:ascii="仿宋_GB2312" w:hAnsi="仿宋_GB2312" w:cs="仿宋_GB2312" w:eastAsia="仿宋_GB2312"/>
                    </w:rPr>
                    <w:t>指提供履行合同所必需的设备和专业技术能力的声明函。</w:t>
                  </w:r>
                </w:p>
              </w:tc>
            </w:tr>
            <w:tr>
              <w:tc>
                <w:tcPr>
                  <w:tcW w:type="dxa" w:w="1135"/>
                </w:tcPr>
                <w:p>
                  <w:pPr>
                    <w:pStyle w:val="null3"/>
                    <w:jc w:val="left"/>
                  </w:pPr>
                  <w:r>
                    <w:rPr>
                      <w:rFonts w:ascii="仿宋_GB2312" w:hAnsi="仿宋_GB2312" w:cs="仿宋_GB2312" w:eastAsia="仿宋_GB2312"/>
                    </w:rPr>
                    <w:t>落实政府采购政策的证明材料(专门面向中小企业采购)</w:t>
                  </w:r>
                </w:p>
              </w:tc>
              <w:tc>
                <w:tcPr>
                  <w:tcW w:type="dxa" w:w="1418"/>
                </w:tcPr>
                <w:p>
                  <w:pPr>
                    <w:pStyle w:val="null3"/>
                    <w:jc w:val="left"/>
                  </w:pPr>
                  <w:r>
                    <w:rPr>
                      <w:rFonts w:ascii="仿宋_GB2312" w:hAnsi="仿宋_GB2312" w:cs="仿宋_GB2312" w:eastAsia="仿宋_GB2312"/>
                    </w:rPr>
                    <w:t>本项目专门面向中小企业采购，非中小企业的将被拒绝，须提供相关证明材料：1、供应商提供的服务应符合《政府采购促进中小企业发展管理办法》(财库〔2020〕46号) 第四条规定的情形，且应当提供《政府采购促进中小企业发展管理办法》(财库〔2020〕46号)规定的《中小企业声明函》，格式见第五章首次响应文件格式。本项目采购标的对应的中小企业划分标准所属行业详见“附2：采购标的一览表”中的所属行业，应对应填写《中小企业声明函》（工程、服务）模板，若供应商填写的《中小企业声明函》不是对应模板的或者提供的《中小企业声明函》中填写的行业与磋商文件明确的采购标的对应的中小企业划分标准所属行业不一致，均不予认定为中小企业。 2、供应商为监狱企业的视同小型和微型企业，可不提供以上第1材料，但应当提供由省级以上监狱管理局、戒毒管理局(含新疆生产建设兵团)出具的属于监狱企业的证明文件。 3、供应商为残疾人福利性单位的视同小型和微型企业，可不提供以上第1点材料，但应当提供《残疾人福利性单位声明函》，格式见第五章《响应文件格式》附件。</w:t>
                  </w:r>
                </w:p>
              </w:tc>
            </w:tr>
            <w:tr>
              <w:tc>
                <w:tcPr>
                  <w:tcW w:type="dxa" w:w="1135"/>
                </w:tcPr>
                <w:p>
                  <w:pPr>
                    <w:pStyle w:val="null3"/>
                    <w:jc w:val="left"/>
                  </w:pPr>
                  <w:r>
                    <w:rPr>
                      <w:rFonts w:ascii="仿宋_GB2312" w:hAnsi="仿宋_GB2312" w:cs="仿宋_GB2312" w:eastAsia="仿宋_GB2312"/>
                    </w:rPr>
                    <w:t>信用记录查询结果(本文件中描述与此处不一致的，以此处为准)</w:t>
                  </w:r>
                </w:p>
              </w:tc>
              <w:tc>
                <w:tcPr>
                  <w:tcW w:type="dxa" w:w="1418"/>
                </w:tcPr>
                <w:p>
                  <w:pPr>
                    <w:pStyle w:val="null3"/>
                    <w:jc w:val="left"/>
                  </w:pPr>
                  <w:r>
                    <w:rPr>
                      <w:rFonts w:ascii="仿宋_GB2312" w:hAnsi="仿宋_GB2312" w:cs="仿宋_GB2312" w:eastAsia="仿宋_GB2312"/>
                    </w:rPr>
                    <w:t>信用记录查询结果(本文件中描述与此处不一致的，以此处为准) ①信用记录查询的截止时点：信用记录查询的截止时点为本项目磋商截止当日。②信用记录查询渠道：信用中国（www.creditchina.gov.cn）、中国政府采购网（www.ccgp.gov.cn）、信用厦门(credit.xm.gov.cn)。③信用记录的查询：由磋商小组通过上述网站查询并打印供应商的信用记录。④经查询，供应商参加本项目采购活动(磋商截止时间)前三年内被列入失信被执行人名单、重大税收违法案件当事人名单、政府采购严重违法失信行为记录名单及其他重大违法记录且相关信用惩戒期限未满的，其资格审查不合格。⑤因查询渠道网站原因导致查无供应商信息的，不认定供应商资格审查不合格；评审结束后，通过其他渠道发现供应商存在不良信用记录的，不认定为资格审查错误，将依照有关规定进行调查处理。⑥本项目不要求供应商在其首次响应文件中提供信用记录查询结果（但供应商应在参加采购活动前查询并了解自身的信用记录情况）。若供应商自行提供查询结果的，仍以磋商小组查询结果为准。</w:t>
                  </w:r>
                </w:p>
              </w:tc>
            </w:tr>
            <w:tr>
              <w:tc>
                <w:tcPr>
                  <w:tcW w:type="dxa" w:w="1135"/>
                </w:tcPr>
                <w:p>
                  <w:pPr>
                    <w:pStyle w:val="null3"/>
                    <w:jc w:val="left"/>
                  </w:pPr>
                  <w:r>
                    <w:rPr>
                      <w:rFonts w:ascii="仿宋_GB2312" w:hAnsi="仿宋_GB2312" w:cs="仿宋_GB2312" w:eastAsia="仿宋_GB2312"/>
                    </w:rPr>
                    <w:t>资格承诺函（若有）</w:t>
                  </w:r>
                </w:p>
              </w:tc>
              <w:tc>
                <w:tcPr>
                  <w:tcW w:type="dxa" w:w="1418"/>
                </w:tcPr>
                <w:p>
                  <w:pPr>
                    <w:pStyle w:val="null3"/>
                    <w:jc w:val="left"/>
                  </w:pPr>
                  <w:r>
                    <w:rPr>
                      <w:rFonts w:ascii="仿宋_GB2312" w:hAnsi="仿宋_GB2312" w:cs="仿宋_GB2312" w:eastAsia="仿宋_GB2312"/>
                    </w:rPr>
                    <w:t>供应商提供《政府采购供应商资格承诺函》的，在响应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 注： ①供应商可自行选择是否提供本承诺函，若不提供本承诺函的，应按磋商文件要求提供相应的证明材料。②供应商应对其承诺内容的真实性、合法性、有效性负责。③供应商应当遵循诚实守信的原则，不得作出虚假承诺，承诺不实的，属于提供虚假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(1)磋商小组将按照规定对各供应商的响应文件采用相同的程序和标准进行评价和比较，将按照提交首次响应文件时间的先后顺序(或者逆顺序)邀请通过资格及符合性审查的合格供应商进行磋商。 (2)所有合格的供应商均可进行磋商并进行最后报价。磋商小组确定成交候选人时以最后报价为准。 (3)特别提示：最后报价时需用到供应商CA证书、电脑及网络，各供应商须考虑前述因素，并自行准备。</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厦门市集美区财政局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代理服务费收费标准：（1）收费标准以单个合同包的成交（中标）总金额为准，按差额定率累进法计取。本项目 的项目的收费标准如下：[0―100]万元 1.5%，（100－500]万元 0.8%。（2）代理服务费由供应商在领取成交通知书的同时，以转账、电汇、现金存款等付款方式一次性缴清。（3）符合中小企业政策规定且资料提供完整的企业，成交后可享受服务费下浮10%的优惠。（4）成交供应商在领取成交通知书前，以转账或汇款方式提交代理服务费到以下账户:厦门兴恒泰招标有限公司，开户行：兴业银行股份有限公司厦门禾祥西支行，账号：129230100100300387，财务联系电话：0592-5258626。为方便代理服务费的核对，请在银行汇款凭证上标注项目信息，如：______ （项目编号）代理服务费 。（5）因供应商自身原因导致最终无法承接项目的，代理服务费不予退还。</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最高限价：供应商超过最高限价的报价为无效报价。根据《中华人民共和国价格法》第六条、第十八条规定，供应商依法有权自主制定属于市场调节的价格，有权根据企业的生产经营成本等自身情况和市场供求状况等外部因素自主定价。(2)-2无效响应及废标条款：以下为可能导致无效响应或废标的条款，具体内容详见磋商文件各章节，请各供应商认真查看对照。 (1)出现“评审的标准和方法”无效响应规定的。 (2)出现第二章竞争性磋商须知无效响应规定的。 (3)出现第三章采购内容及要求无效响应规定的。 (4)明显不符合技术要求的为无效响应。 (5)内容不全或关键字迹模糊、无法辨认的为无效响应。 (2)-3根据《政府采购质疑和投诉办法》(财政部令第94号)第十六条的规定：对采购过程、中标或者成交结果提出的质疑，合格供应商符合法定数量时，可以从合格的中标或者成交候选人中另行确定中标、成交供应商的，应当依法另行确定中标、成交供应商；否则应当重新开展采购活动。 (2)-4质疑与投诉 (2)-4.1质疑 (2)-4.1.1根据《政府采购质疑和投诉办法》(财政部令第94号)第十条规定，供应商认为采购文件、采购过程、中标或者成交结果使自己的权益受到损害的，可以在知道或者应知其权益受到损害之日起7个工作日内，以书面形式向采购人、采购代理机构提出质疑。根据《中华人民共和国政府采购法实施条例》第五十三条规定，政府采购法第五十二条规定的供应商应知其权益受到损害之日，是指： ①对可以质疑的采购文件提出质疑的，为收到采购文件之日； ②对采购过程提出质疑的，为各采购程序环节结束之日； ③对成交结果提出质疑的，为成交结果公告期限届满之日。(2)-4.1.2供应商在法定质疑期内须一次性提出针对同一采购程序环节的质疑。 (2)-4.1.3接收质疑函的方式、联系部门、联系电话和通讯地址 ①接收质疑函的方式：现场方式； ②接收质疑函的联系部门：办公室； ③接收质疑函的联系电话：0592-5258626； ④接收质疑函的通讯地址：厦门市湖里区后坑前社318号企鸣财富中心C栋505室。 (2)-4.2投诉 (2)-4.2.1根据《政府采购质疑和投诉办法》(财政部令第94号)第十八条规定，“投诉人投诉时,应当提交投诉书和必要的证明材料，并按照被投诉采购人、采购代理机构和与投诉事项有关的供应商数量提供投诉书的副本”。根据《政府采购质疑和投诉办法》(财政部令第94号)第二十条规定，“供应商投诉的事项不得超出已质疑事项的范围，但基于质疑答复内容提出的投诉事项除外。”(2)-5为本次采购项目提供设计、编制规范、进行管理等服务的供应商，不得再参加该采购项目的其他采购活动。</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自中标通知书发出之日起20个日历日内。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(12)-1电子响应文件的投标报价、投标客户端填写的投标报价应保持一致，并以投标客户端填写的投标报价为准。</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2.2.1已提交响应文件的供应商，在提交最后报价之前，可以根据磋商情况退出磋商，以提交书面函为准。 2.2.2响应文件报价、最后报价出现前后不一致的，按照下列规定修正：(1)响应文件中报价一览表内容(或最后报价表)与响应文件中相应内容不一致的，以报价一览表(或最后报价表)为准； (2)大写金额和小写金额不一致的，以大写金额为准； (3)单价金额小数点或者百分比有明显错位的，以报价一览表的总价为准，并修改单价； (4)总价金额与按单价汇总金额不一致的，以单价金额计算结果为准。同时出现两种以上不一致的，按照前款规定的顺序修正。修正后的报价按照第2节“竞争性磋商须知”第14.3条的规定经供应商确认后产生约束力，供应商不确认的，其响应无效。</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技术部分评分PT 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阐述承接本项目的能力与优势以及针对采购人需求提出的具体服务方案等进行评价（包括但不限于基础服务方案、经营管理服务本项目的能力与优势、对采购人的管理建议等）：①根据要求提供完整服务方案的得2.83分；②在满足①的基础上，方案全面，人员方面以及对本项目熟悉程度上的各种优势明显的，应急响应程度充分、有效，经营管理服务本项目方案内容详尽、明确，对采购人的管理建议有效、实用的得3分；③未提供或内容不满足上述情形的不得分。</w:t>
            </w:r>
          </w:p>
        </w:tc>
      </w:tr>
      <w:tr>
        <w:tc>
          <w:tcPr>
            <w:tcW w:type="dxa" w:w="3322"/>
          </w:tcPr>
          <w:p>
            <w:pPr>
              <w:pStyle w:val="null3"/>
              <w:jc w:val="left"/>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对本项目物业管理的服务理念和整体目标、服务质量控制方式和服务预期效果等进行评价：①根据要求提供完整方案的得2.83分；②在满足①的基础上，对服务过程中的关键节点有具体质量控制措施，有相应的人力、物力投入安排，能够确保服务质量的得3分。③未提供或内容不满足上述情形的不得分。</w:t>
            </w:r>
          </w:p>
        </w:tc>
      </w:tr>
      <w:tr>
        <w:tc>
          <w:tcPr>
            <w:tcW w:type="dxa" w:w="3322"/>
          </w:tcPr>
          <w:p>
            <w:pPr>
              <w:pStyle w:val="null3"/>
              <w:jc w:val="left"/>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对本项目的物业服务特点，对物业建筑结构、配套设施等方面进行分析，列出的管理难点并提供相应管理措施等进行评价：①根据要求提供的内容完整的得2.83分；②在满足①的基础上，物业服务特点内容详细，重点难点突出且具有相应管理措施，有具体可行的处理流程、解决办法的得3分；③未提供或内容不满足上述情形的不得分。</w:t>
            </w:r>
          </w:p>
        </w:tc>
      </w:tr>
      <w:tr>
        <w:tc>
          <w:tcPr>
            <w:tcW w:type="dxa" w:w="3322"/>
          </w:tcPr>
          <w:p>
            <w:pPr>
              <w:pStyle w:val="null3"/>
              <w:jc w:val="left"/>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设施设备的维护管理方案（包括但不限于水电维修管理、电梯、消防等系统日常维修养护工作）进行评价：①根据要求提供相应方案的得2.83分；②在满足①的基础上，方案详细，把握重点难点，涵盖具体工作规范流程、工作内容、工作标准及保障服务质量措施的得3分；③未提供或内容不满足上述情形的不得分。</w:t>
            </w:r>
          </w:p>
        </w:tc>
      </w:tr>
      <w:tr>
        <w:tc>
          <w:tcPr>
            <w:tcW w:type="dxa" w:w="3322"/>
          </w:tcPr>
          <w:p>
            <w:pPr>
              <w:pStyle w:val="null3"/>
              <w:jc w:val="left"/>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消防管理方案进行评价：①有提供消防管理方案的得2.83分；②在满足①的基础上，方案详细，把握重点难点，有具体的消防安全管理工作流程、工作细则、消防知识教育及保障服务质量措施的得3分；③未提供或内容不满足上述情形的不得分。</w:t>
            </w:r>
          </w:p>
        </w:tc>
      </w:tr>
      <w:tr>
        <w:tc>
          <w:tcPr>
            <w:tcW w:type="dxa" w:w="3322"/>
          </w:tcPr>
          <w:p>
            <w:pPr>
              <w:pStyle w:val="null3"/>
              <w:jc w:val="left"/>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公共秩序维护服务及车辆停放管理方案进行评价：①有提供公共秩序维护服务及车辆停放管理方案的得2.83分；②在满足①的基础上，方案详细，把握重点难点，有具体的门岗执勤、安全巡逻、车辆引导管理的工作流程，服务标准及保障服务质量措施的得3分；③未提供或内容不满足上述情形的不得分。</w:t>
            </w:r>
          </w:p>
        </w:tc>
      </w:tr>
      <w:tr>
        <w:tc>
          <w:tcPr>
            <w:tcW w:type="dxa" w:w="3322"/>
          </w:tcPr>
          <w:p>
            <w:pPr>
              <w:pStyle w:val="null3"/>
              <w:jc w:val="left"/>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公共环境卫生管理方案进行评价：①有提供公共环境卫生管理方案的得2.83分；②在满足①的基础上，方案详细，把握重点难点，有具体的环境卫生管理流程、消杀组织计划、保洁工作规范及标准及保障服务质量措施的得3分；③未提供或内容不满足上述情形的不得分。</w:t>
            </w:r>
          </w:p>
        </w:tc>
      </w:tr>
      <w:tr>
        <w:tc>
          <w:tcPr>
            <w:tcW w:type="dxa" w:w="3322"/>
          </w:tcPr>
          <w:p>
            <w:pPr>
              <w:pStyle w:val="null3"/>
              <w:jc w:val="left"/>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垃圾分类服务方案进行评价：①有提供垃圾分类服务方案的得2.83分；②在满足①的基础上，方案详细，把握重点难点，有具体的垃圾分类宣传办法、管理流程及保障服务质量措施的得3分；③未提供或内容不满足上述情形的不得分。</w:t>
            </w:r>
          </w:p>
        </w:tc>
      </w:tr>
      <w:tr>
        <w:tc>
          <w:tcPr>
            <w:tcW w:type="dxa" w:w="3322"/>
          </w:tcPr>
          <w:p>
            <w:pPr>
              <w:pStyle w:val="null3"/>
              <w:jc w:val="left"/>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绿化养护管理方案进行评价：①提供绿化养护管理方案的得2.83分；②在满足①的基础上，方案详细，把握重点难点，有具体的养护流程规范、病虫检查及消杀办法及保障服务质量措施的得3分；③未提供或内容不满足上述情形的不得分。</w:t>
            </w:r>
          </w:p>
        </w:tc>
      </w:tr>
      <w:tr>
        <w:tc>
          <w:tcPr>
            <w:tcW w:type="dxa" w:w="3322"/>
          </w:tcPr>
          <w:p>
            <w:pPr>
              <w:pStyle w:val="null3"/>
              <w:jc w:val="left"/>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对本项目档案建立与管理方案进行评价：①有提供档案建立与管理方案的得2.83分；②在满足①的基础上，方案详细，把握重点难点，有具体的保存管理制度、档案调阅检查制度，有服务期结束后的档案移交办法的得3分；③未提供或内容不满足上述情形的不得分。</w:t>
            </w:r>
          </w:p>
        </w:tc>
      </w:tr>
      <w:tr>
        <w:tc>
          <w:tcPr>
            <w:tcW w:type="dxa" w:w="3322"/>
          </w:tcPr>
          <w:p>
            <w:pPr>
              <w:pStyle w:val="null3"/>
              <w:jc w:val="left"/>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制定的重大活动后勤保障服务方案进行评价：①内容包含重大节日活动服务保障内容、上级部门检查服务保障、贵宾接待服务保障的得2.83分；②在满足①的基础上，方案分析详细具体、有提供本项目后勤保障服务的特性、重难点，并提出解决措施的3分；③未提供或内容不满足上述情形的不得分。</w:t>
            </w:r>
          </w:p>
        </w:tc>
      </w:tr>
      <w:tr>
        <w:tc>
          <w:tcPr>
            <w:tcW w:type="dxa" w:w="3322"/>
          </w:tcPr>
          <w:p>
            <w:pPr>
              <w:pStyle w:val="null3"/>
              <w:jc w:val="left"/>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根据供应商针对本项目提供的物业服务突发事件处理方案（日常管理中常见的突发事件包括火警、电梯困人等制定相应的预案)进行评价： ①提供相应方案，能满足本项目服务需要的得2.83分； ②在满足①的基础上，方案详尽全面，考虑周到，针对不同应急事件有详细具体的针对性措施，且有利于项目实施的得3分； ③未提供或内容不满足上述情形的不得分。</w:t>
            </w:r>
          </w:p>
        </w:tc>
      </w:tr>
      <w:tr>
        <w:tc>
          <w:tcPr>
            <w:tcW w:type="dxa" w:w="3322"/>
          </w:tcPr>
          <w:p>
            <w:pPr>
              <w:pStyle w:val="null3"/>
              <w:jc w:val="left"/>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根据供应商针对本项目提供的天气等（如台风、暴雨等）应急事件保障方案进行评价： ①有提供应急保障措施，措施能有效降低事件风险的得2.83分； ②在满足①的基础上，针对本项目所涉及突发、应急事件等考虑全面，人员调配思路清晰可行应急时间及时，事件能得到有效控制的得3分； ③未提供或内容不满足上述情形的不得分。</w:t>
            </w:r>
          </w:p>
        </w:tc>
      </w:tr>
      <w:tr>
        <w:tc>
          <w:tcPr>
            <w:tcW w:type="dxa" w:w="3322"/>
          </w:tcPr>
          <w:p>
            <w:pPr>
              <w:pStyle w:val="null3"/>
              <w:jc w:val="left"/>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根据供应商对本项目垃圾分类正确率承诺情况进行评分：承诺垃圾分类正确率≥95%的得3分；90%≤承诺垃圾分类正确率＜95%的得2分，其余不得分；须提供书面承诺函（承诺函格式自拟），否则不得分。</w:t>
            </w:r>
          </w:p>
        </w:tc>
      </w:tr>
      <w:tr>
        <w:tc>
          <w:tcPr>
            <w:tcW w:type="dxa" w:w="3322"/>
          </w:tcPr>
          <w:p>
            <w:pPr>
              <w:pStyle w:val="null3"/>
              <w:jc w:val="left"/>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人员配置方案进行评价：①有提供人员配置方案的得2.83分；②在满足①的基础上，提供了组织机构设置、人员岗位职责、技术专业人员资历状况，且内容完整详细的得3分；③未提供或内容不满足上述情形的不得分。</w:t>
            </w:r>
          </w:p>
        </w:tc>
      </w:tr>
      <w:tr>
        <w:tc>
          <w:tcPr>
            <w:tcW w:type="dxa" w:w="3322"/>
          </w:tcPr>
          <w:p>
            <w:pPr>
              <w:pStyle w:val="null3"/>
              <w:jc w:val="left"/>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对本项目人员管理方案进行评价：①有提供人员管理方案的得1.83分；②在满足①的基础上，方案详细，有具体管理制度、规章制度、奖惩制度，有提出人员管理的重点难点，且有提供相应解决措施的得2分；③未提供或内容不满足上述情形的不得分。</w:t>
            </w:r>
          </w:p>
        </w:tc>
      </w:tr>
      <w:tr>
        <w:tc>
          <w:tcPr>
            <w:tcW w:type="dxa" w:w="3322"/>
          </w:tcPr>
          <w:p>
            <w:pPr>
              <w:pStyle w:val="null3"/>
              <w:jc w:val="left"/>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应急电源车、应急消防车和消防工程车，以保障采购人处理紧急消防险情，每提供1种车辆得1分，满分3分。【注：自有的供应商须提供①车辆照片，②车辆行驶证有效复印件（车辆行驶证的所有人与供应商或其法定代表人一致），属于租赁的须提供①车辆照片，②车辆行驶证有效复印件，③租赁合同，否则不得分。】</w:t>
            </w:r>
          </w:p>
        </w:tc>
      </w:tr>
      <w:tr>
        <w:tc>
          <w:tcPr>
            <w:tcW w:type="dxa" w:w="3322"/>
          </w:tcPr>
          <w:p>
            <w:pPr>
              <w:pStyle w:val="null3"/>
              <w:jc w:val="left"/>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派本项目的项目管理员进行评价：本科及以上学历，且具有与项目管理相关（例如财务、人力资源管理、企业管理、工程）中级及以上职称得2分，具有物业管理岗位从业证书的得1分，满分3分。须提供人员相关有效证书扫描件及近6个月内任意连续3个月（不含磋商截止当月，成立不足3个月的提供自成立以来）的社保缴交证明材料,否则不得分。</w:t>
            </w:r>
          </w:p>
        </w:tc>
      </w:tr>
      <w:tr>
        <w:tc>
          <w:tcPr>
            <w:tcW w:type="dxa" w:w="3322"/>
          </w:tcPr>
          <w:p>
            <w:pPr>
              <w:pStyle w:val="null3"/>
              <w:jc w:val="left"/>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派本项目机电人员进行评价：持有高压电工证书可得1分、持有特种设备安全管理员证书或电梯安装维修工证书可得1分、持有消防设施操作员证书或建（构）筑消防员证的得1分,满分3分。需提供人员相关有效证书扫描件及近6个月内任意连续3个月（不含磋商截止当月，成立不足3个月的提供自成立以来）的社保缴交证明材料，否则不得分。</w:t>
            </w:r>
          </w:p>
        </w:tc>
      </w:tr>
      <w:tr>
        <w:tc>
          <w:tcPr>
            <w:tcW w:type="dxa" w:w="3322"/>
          </w:tcPr>
          <w:p>
            <w:pPr>
              <w:pStyle w:val="null3"/>
              <w:jc w:val="left"/>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派本项目维序员进行评价：维序员持有保安证，在此基础上持有退伍证的，每提供1人加1分，满分3分。需提供人员相关有效证书扫描件及近6个月内任意连续3个月（不含磋商截止当月，成立不足3个月的提供自成立以来）的社保缴交证明材料，否则不得分。</w:t>
            </w:r>
          </w:p>
        </w:tc>
      </w:tr>
      <w:tr>
        <w:tc>
          <w:tcPr>
            <w:tcW w:type="dxa" w:w="3322"/>
          </w:tcPr>
          <w:p>
            <w:pPr>
              <w:pStyle w:val="null3"/>
              <w:jc w:val="left"/>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派本项目的维序员进行评价：维序员持有保安证，在此基础上具备消防设施操作员或建（构）筑消防员证的，每提供1人加1分，满分3分；需提供人员相关有效证书扫描件及近6个月内任意连续3个月（不含磋商截止当月，成立不足3个月的提供自成立以来）的社保缴交证明材料，否则不得分。（评分项1-20与1-21同一人员不重复得分）</w:t>
            </w:r>
          </w:p>
        </w:tc>
      </w:tr>
      <w:tr>
        <w:tc>
          <w:tcPr>
            <w:tcW w:type="dxa" w:w="3322"/>
          </w:tcPr>
          <w:p>
            <w:pPr>
              <w:pStyle w:val="null3"/>
              <w:jc w:val="left"/>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应急保障（可临时调配应急人员到达现场时间）方案进行评价：15分钟以内（含15分钟）到达的得3分；15分钟＜到达现场时间≤30分钟的得2分；30分钟＜到达现场时间≤60分钟的得1分。需提供书面承诺（格式自拟），否则不得分。</w:t>
            </w:r>
          </w:p>
        </w:tc>
      </w:tr>
    </w:tbl>
    <w:p>
      <w:pPr>
        <w:pStyle w:val="null3"/>
        <w:jc w:val="left"/>
      </w:pPr>
      <w:r>
        <w:rPr>
          <w:rFonts w:ascii="仿宋_GB2312" w:hAnsi="仿宋_GB2312" w:cs="仿宋_GB2312" w:eastAsia="仿宋_GB2312"/>
        </w:rPr>
        <w:t>商务部分评分PB 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供应商具有质量管理体系认证证书、环境管理体系认证证书、职业健康安全管理体系认证证书的，每个得1分，满分3分。需提供相关有效证书有效扫描件，否则不得分。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供应商承诺在合同履行期间对所知悉的有关重要情况做好保密工作，并且不损害采购人的公众形象的得1分，提供书面承诺（格式自拟），否则不得分。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针对本项目提供的企业管理制度（包括规章管理制度、财务管理制度）进行评价：制度完善、内容具体可行，有助于规范企业管理和项目实施的，每提供一项得1分，满分2分；未提供相关内容或内容不可行的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服务人员的培训方案进行评价：①提供相应方案，能满足本项目服务需要的得1.55分；②在满足①的基础上，方案详细，把握重点难点，有具体的人员培训目标与方式、培训内容与计划、培训制度的得2分；③未提供或内容不满足上述情形的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供应商承诺拟为投入本项目的所有员工在服务期间购买工伤保险或雇主责任险的得3 分。须提供书面承诺函（承诺函格式自拟），否则不得分。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供应商承诺配备的全部服务人员于合同签订后7个日历日内配备到位并完成交接工作，且通过采购人认可的得3分，须提供书面承诺函（承诺函格式自拟），否则不得分。</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应为本项目提供本地化服务，供应商可提供合作单位协议或者自身机构的营业执照证明，也可以提供在本地设立的项目部、办公室、办事处等机构证明，或者承诺成交后20个工作日内提供本地化服务保障并提供具体措施的得2分，否则不得分。【注：如提供承诺函的供应商中标，但中标后未按承诺函履行承诺，则视为虚假承诺，采购人将单方取消其中标资格，同时上报主管部门按照政府采购法相关规定给予处罚，给采购人造成损失的，则还须承担相应的赔偿责任。】</w:t>
            </w:r>
          </w:p>
        </w:tc>
      </w:tr>
      <w:tr>
        <w:tc>
          <w:tcPr>
            <w:tcW w:type="dxa" w:w="3322"/>
          </w:tcPr>
          <w:p>
            <w:pPr>
              <w:pStyle w:val="null3"/>
              <w:jc w:val="left"/>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供应商2022年以来获得政府相关部门颁发的与本项目服务内容相关的荣誉或证书进行评价，每获得一份荣誉或证书得1分，满分3分。需提供相关荣誉的文件或证书的扫描件，否则不得分。</w:t>
            </w:r>
          </w:p>
        </w:tc>
      </w:tr>
      <w:tr>
        <w:tc>
          <w:tcPr>
            <w:tcW w:type="dxa" w:w="3322"/>
          </w:tcPr>
          <w:p>
            <w:pPr>
              <w:pStyle w:val="null3"/>
              <w:jc w:val="left"/>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根据供应商自2022年（以合同签订时间为准）以来承接类似项目（类似业绩指本项目服务内容相关的业绩）的有效经营业绩的证明文件进行评价：每个有效业绩得1分，满分3分。 【说明：有效证明文件包括：①中标（成交）公告[提供相关网站中标（成交）公告的下载网页及其网址]；②中标（成交）通知书复印件；③采购合同文本复印件；④能够证明该业绩项目已经业主验收（考核）合格的相关证明文件复印件。如未按照磋商文件要求提供该项业绩完整资料的，磋商小组对该项业绩将不予采信。】 【注：本项评分与2-10项同一业绩的不重复得分。】</w:t>
            </w:r>
          </w:p>
        </w:tc>
      </w:tr>
      <w:tr>
        <w:tc>
          <w:tcPr>
            <w:tcW w:type="dxa" w:w="3322"/>
          </w:tcPr>
          <w:p>
            <w:pPr>
              <w:pStyle w:val="null3"/>
              <w:jc w:val="left"/>
            </w:pPr>
            <w:r>
              <w:rPr>
                <w:rFonts w:ascii="仿宋_GB2312" w:hAnsi="仿宋_GB2312" w:cs="仿宋_GB2312" w:eastAsia="仿宋_GB2312"/>
              </w:rPr>
              <w:t>2-10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2022年（以合同签订时间为准）以来完成类似项目（类似业绩指本项目服务内容相关的业绩）的满意度评价进行评价：获得“满意”、或“优”及以上评价的，每提供一份得1分，满分3分，供应商须提供①书面满意度评价材料复印件[盖有业主单位公章而非部门章或专用章]；②合同文本复印件。需同时提供以上两项证明材料，未按要求提供完整证明资料的业绩将不予计分。 【注：本项评分与2-9项同一业绩的不重复得分，同一单位满意度评价不重复计算。】</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（1）响应文件满足磋商文件全部实质性要求，且按照评审因素的量化指标综合评审总得分从高到低顺序推荐3名以上成交候选供应商，其中评审总得分最高的供应商为第一成交候选供应商。</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A、串通报价的情形, 磋商小组在评审过程中发现供应商存在下列情形之一的，可认定其有串通报价行为，并做出其响应无效的决定： (1)不同供应商的响应文件错、漏之处一致或雷同，且不能合理解释的； (2)不同的供应商的法定代表人、委托代理人等由同一个单位缴纳社会保险的； (3)由同一人或分别由几个有利害关系人携带两个以上(含两个)供应商的企业资料参与资格审查、领取竞争性磋商资料，或代表两个以上(含两个) 供应商参加竞争性磋商答疑会、交纳或退还投标保证金、磋商的； (4)不同供应商的响应文件由同一单位或者个人编制。 (5)不同供应商委托同一单位或者个人办理磋商事宜。 (6)不同供应商的响应文件载明的项目管理成员或者联系人员为同一人。 (7)不同供应商的响应文件异常一致或者报价呈规律性差异。 (8)不同供应商的响应文件相互混装。 (9)不同供应商的磋商保证金从同一单位或者个人的账户转出。 (10)有关法律、法规或规章规定的其他串通磋商行为。 B、重大偏差情形，详见磋商文件第1节“竞争性磋商须知前附表（表1、表2）”的专项附件“评审的标准和方法”中5.1.4A和第2节竞争性磋商须知14.2.1中情形之一的。 C、细微偏差情形： (1)细微偏差是指响应文件在实质上响应磋商文件要求，但在个别地方存在漏项或者提供了不完整的技术信息和数据等情况，并且补正或改正这些遗漏或者不完整不会对其他供应商造成不公平的结果。细微偏差不影响响应文件的有效性。 (2)磋商小组应当书面要求存在细微偏差的供应商在评审结束前予以补正。补正的程序和方法按磋商文件第2节“竞争性磋商须知”第14.3规定执行。无法补正的，可以在评审时对细微偏差作不利于该供应商的认定。不利的认定标准如下：未按照磋商小组在评审结束前要求予以补正的全部细微偏差内容。 D、采购人、采购代理机构不得向磋商小组的评审专家作倾向性、误导性的解释或者说明。 E、采购文件内容违反国家有关强制性规定的，磋商小组应当停止评审并向采购人或者采购代理机构说明情况。 F、修改事项： (1)磋商文件第五章“首次响应文件格式”中“中小企业声明函（工程、服务）”关于“2、供应商须按磋商文件明确的所属行业填列，多品目项目中须按上表要求逐条填列，否则，其提供的中小企业声明将被判定为无效声明函，由此造成的后果由供应商自行承担（涉及资格的按无效报价处理；涉及价格评审优惠的，不予认定）”的 内容。修改为“2、供应商须按磋商文件中明确的所属行业填列，否则，其提供的中小企业声明将被判定为无效声明函，由此造成的后果由供应商自行承担（涉及资格的按无效响应处理；涉及价格评审优惠的，不予认定）”。</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1、响应文件未按磋商文件规定由供应商代表签字，或未按磋商文件规定加盖供应商单位公章的；或供应商代表未获得有效授权的；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2、响应内容与磋商采购内容及要求有重大偏离或保留的，限制了采购人的权利或者减少成交人合同项下的义务；（由于磋商项目本身特点，不能详细列明采购标的的技术、服务要求的除外）；</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3、响应文件中附有采购人无法接受的条件的；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4、不符合磋商文件中规定的其它实质性条款（比如：报价超过了磋商文件规定的最高限价）。</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5、属于磋商文件中规定的无效响应条款的。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1、响应文件未按磋商文件规定由供应商代表签字，或未按磋商文件规定加盖供应商单位公章的；或供应商代表未获得有效授权的；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2、响应内容与磋商采购内容及要求有重大偏离或保留的，限制了采购人的权利或者减少成交人合同项下的义务；（由于磋商项目本身特点，不能详细列明采购标的的技术、服务要求的除外）；</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3、响应文件中附有采购人无法接受的条件的；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4、不符合磋商文件中规定的其它实质性条款（比如：报价超过了磋商文件规定的最高限价）；</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5、属于磋商文件中规定的无效响应条款的；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6、响应文件载明的招标项目交付时间超过磋商文件规定或未载明招标项目交货时间的；</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color w:val="000000"/>
        </w:rPr>
        <w:t>本项目为厦门市集美区纪检监察事务中心办公楼物业管理服务项目，服务期限：本次采购服务期一年。本项目为可延续采购的服务项目，一年服务期满后，在预算资金有保障、服务价格不提高的前提下，采购人根据综合评估的情况可向中标人延续采购，续签采购合同一年，原合同与延续合同的期限累计不超过3年。</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、服务内容及要求</w:t>
      </w:r>
    </w:p>
    <w:p>
      <w:pPr>
        <w:pStyle w:val="null3"/>
        <w:ind w:firstLine="480"/>
      </w:pPr>
      <w:r>
        <w:rPr>
          <w:rFonts w:ascii="仿宋_GB2312" w:hAnsi="仿宋_GB2312" w:cs="仿宋_GB2312" w:eastAsia="仿宋_GB2312"/>
          <w:sz w:val="24"/>
          <w:color w:val="000000"/>
        </w:rPr>
        <w:t>1.1</w:t>
      </w:r>
      <w:r>
        <w:rPr>
          <w:rFonts w:ascii="仿宋_GB2312" w:hAnsi="仿宋_GB2312" w:cs="仿宋_GB2312" w:eastAsia="仿宋_GB2312"/>
          <w:sz w:val="24"/>
          <w:color w:val="000000"/>
        </w:rPr>
        <w:t>综合管理</w:t>
      </w:r>
    </w:p>
    <w:p>
      <w:pPr>
        <w:pStyle w:val="null3"/>
        <w:ind w:firstLine="480"/>
      </w:pPr>
      <w:r>
        <w:rPr>
          <w:rFonts w:ascii="仿宋_GB2312" w:hAnsi="仿宋_GB2312" w:cs="仿宋_GB2312" w:eastAsia="仿宋_GB2312"/>
          <w:sz w:val="24"/>
          <w:color w:val="000000"/>
        </w:rPr>
        <w:t>1.1.1</w:t>
      </w:r>
      <w:r>
        <w:rPr>
          <w:rFonts w:ascii="仿宋_GB2312" w:hAnsi="仿宋_GB2312" w:cs="仿宋_GB2312" w:eastAsia="仿宋_GB2312"/>
          <w:sz w:val="24"/>
          <w:color w:val="000000"/>
        </w:rPr>
        <w:t>负责制定物业管理服务工作计划，并组织实施。</w:t>
      </w:r>
    </w:p>
    <w:p>
      <w:pPr>
        <w:pStyle w:val="null3"/>
        <w:ind w:firstLine="480"/>
      </w:pPr>
      <w:r>
        <w:rPr>
          <w:rFonts w:ascii="仿宋_GB2312" w:hAnsi="仿宋_GB2312" w:cs="仿宋_GB2312" w:eastAsia="仿宋_GB2312"/>
          <w:sz w:val="24"/>
          <w:color w:val="000000"/>
        </w:rPr>
        <w:t>1.1.2</w:t>
      </w:r>
      <w:r>
        <w:rPr>
          <w:rFonts w:ascii="仿宋_GB2312" w:hAnsi="仿宋_GB2312" w:cs="仿宋_GB2312" w:eastAsia="仿宋_GB2312"/>
          <w:sz w:val="24"/>
          <w:color w:val="000000"/>
        </w:rPr>
        <w:t>公示24小时服务电话，白天有专职管理员接待，处理服务范围内的公共性事物，受理咨询及投诉，并在承诺的时间内给予回复解决。</w:t>
      </w:r>
    </w:p>
    <w:p>
      <w:pPr>
        <w:pStyle w:val="null3"/>
        <w:ind w:firstLine="480"/>
      </w:pPr>
      <w:r>
        <w:rPr>
          <w:rFonts w:ascii="仿宋_GB2312" w:hAnsi="仿宋_GB2312" w:cs="仿宋_GB2312" w:eastAsia="仿宋_GB2312"/>
          <w:sz w:val="24"/>
          <w:color w:val="000000"/>
        </w:rPr>
        <w:t>1.1.3</w:t>
      </w:r>
      <w:r>
        <w:rPr>
          <w:rFonts w:ascii="仿宋_GB2312" w:hAnsi="仿宋_GB2312" w:cs="仿宋_GB2312" w:eastAsia="仿宋_GB2312"/>
          <w:sz w:val="24"/>
          <w:color w:val="000000"/>
        </w:rPr>
        <w:t>专业操作人员具备所需证书及资格。</w:t>
      </w:r>
    </w:p>
    <w:p>
      <w:pPr>
        <w:pStyle w:val="null3"/>
        <w:ind w:firstLine="480"/>
      </w:pPr>
      <w:r>
        <w:rPr>
          <w:rFonts w:ascii="仿宋_GB2312" w:hAnsi="仿宋_GB2312" w:cs="仿宋_GB2312" w:eastAsia="仿宋_GB2312"/>
          <w:sz w:val="24"/>
          <w:color w:val="000000"/>
        </w:rPr>
        <w:t>1.1.4</w:t>
      </w:r>
      <w:r>
        <w:rPr>
          <w:rFonts w:ascii="仿宋_GB2312" w:hAnsi="仿宋_GB2312" w:cs="仿宋_GB2312" w:eastAsia="仿宋_GB2312"/>
          <w:sz w:val="24"/>
          <w:color w:val="000000"/>
        </w:rPr>
        <w:t>管理服务人员统一着装，佩带标志，行为规范，服务主动热情，并根据不同岗位要求，对人员素质、身体素质、年龄等进行相应限制。</w:t>
      </w:r>
    </w:p>
    <w:p>
      <w:pPr>
        <w:pStyle w:val="null3"/>
        <w:ind w:firstLine="480"/>
      </w:pPr>
      <w:r>
        <w:rPr>
          <w:rFonts w:ascii="仿宋_GB2312" w:hAnsi="仿宋_GB2312" w:cs="仿宋_GB2312" w:eastAsia="仿宋_GB2312"/>
          <w:sz w:val="24"/>
          <w:color w:val="000000"/>
        </w:rPr>
        <w:t>1.1.5</w:t>
      </w:r>
      <w:r>
        <w:rPr>
          <w:rFonts w:ascii="仿宋_GB2312" w:hAnsi="仿宋_GB2312" w:cs="仿宋_GB2312" w:eastAsia="仿宋_GB2312"/>
          <w:sz w:val="24"/>
          <w:color w:val="000000"/>
        </w:rPr>
        <w:t>建立完善各类人员工作和业绩考核制度。</w:t>
      </w:r>
    </w:p>
    <w:p>
      <w:pPr>
        <w:pStyle w:val="null3"/>
        <w:ind w:firstLine="480"/>
      </w:pPr>
      <w:r>
        <w:rPr>
          <w:rFonts w:ascii="仿宋_GB2312" w:hAnsi="仿宋_GB2312" w:cs="仿宋_GB2312" w:eastAsia="仿宋_GB2312"/>
          <w:sz w:val="24"/>
          <w:color w:val="000000"/>
        </w:rPr>
        <w:t>1.2</w:t>
      </w:r>
      <w:r>
        <w:rPr>
          <w:rFonts w:ascii="仿宋_GB2312" w:hAnsi="仿宋_GB2312" w:cs="仿宋_GB2312" w:eastAsia="仿宋_GB2312"/>
          <w:sz w:val="24"/>
          <w:color w:val="000000"/>
        </w:rPr>
        <w:t>房屋管理</w:t>
      </w:r>
    </w:p>
    <w:p>
      <w:pPr>
        <w:pStyle w:val="null3"/>
        <w:ind w:firstLine="480"/>
      </w:pPr>
      <w:r>
        <w:rPr>
          <w:rFonts w:ascii="仿宋_GB2312" w:hAnsi="仿宋_GB2312" w:cs="仿宋_GB2312" w:eastAsia="仿宋_GB2312"/>
          <w:sz w:val="24"/>
          <w:color w:val="000000"/>
        </w:rPr>
        <w:t>1.2.1</w:t>
      </w:r>
      <w:r>
        <w:rPr>
          <w:rFonts w:ascii="仿宋_GB2312" w:hAnsi="仿宋_GB2312" w:cs="仿宋_GB2312" w:eastAsia="仿宋_GB2312"/>
          <w:sz w:val="24"/>
          <w:color w:val="000000"/>
        </w:rPr>
        <w:t>制定房屋年度维修养护计划，对房屋进行日常管理和维修养护，检修记录和保养记录齐全。</w:t>
      </w:r>
    </w:p>
    <w:p>
      <w:pPr>
        <w:pStyle w:val="null3"/>
        <w:ind w:firstLine="480"/>
      </w:pPr>
      <w:r>
        <w:rPr>
          <w:rFonts w:ascii="仿宋_GB2312" w:hAnsi="仿宋_GB2312" w:cs="仿宋_GB2312" w:eastAsia="仿宋_GB2312"/>
          <w:sz w:val="24"/>
          <w:color w:val="000000"/>
        </w:rPr>
        <w:t>1.2.2</w:t>
      </w:r>
      <w:r>
        <w:rPr>
          <w:rFonts w:ascii="仿宋_GB2312" w:hAnsi="仿宋_GB2312" w:cs="仿宋_GB2312" w:eastAsia="仿宋_GB2312"/>
          <w:sz w:val="24"/>
          <w:color w:val="000000"/>
        </w:rPr>
        <w:t>负责物业标识维护。</w:t>
      </w:r>
    </w:p>
    <w:p>
      <w:pPr>
        <w:pStyle w:val="null3"/>
        <w:ind w:firstLine="480"/>
      </w:pPr>
      <w:r>
        <w:rPr>
          <w:rFonts w:ascii="仿宋_GB2312" w:hAnsi="仿宋_GB2312" w:cs="仿宋_GB2312" w:eastAsia="仿宋_GB2312"/>
          <w:sz w:val="24"/>
          <w:color w:val="000000"/>
        </w:rPr>
        <w:t>1.3</w:t>
      </w:r>
      <w:r>
        <w:rPr>
          <w:rFonts w:ascii="仿宋_GB2312" w:hAnsi="仿宋_GB2312" w:cs="仿宋_GB2312" w:eastAsia="仿宋_GB2312"/>
          <w:sz w:val="24"/>
          <w:color w:val="000000"/>
        </w:rPr>
        <w:t>共用设施、设备维修养护</w:t>
      </w:r>
    </w:p>
    <w:p>
      <w:pPr>
        <w:pStyle w:val="null3"/>
        <w:ind w:firstLine="480"/>
      </w:pPr>
      <w:r>
        <w:rPr>
          <w:rFonts w:ascii="仿宋_GB2312" w:hAnsi="仿宋_GB2312" w:cs="仿宋_GB2312" w:eastAsia="仿宋_GB2312"/>
          <w:sz w:val="24"/>
          <w:color w:val="000000"/>
        </w:rPr>
        <w:t>1.3.1</w:t>
      </w:r>
      <w:r>
        <w:rPr>
          <w:rFonts w:ascii="仿宋_GB2312" w:hAnsi="仿宋_GB2312" w:cs="仿宋_GB2312" w:eastAsia="仿宋_GB2312"/>
          <w:sz w:val="24"/>
          <w:color w:val="000000"/>
        </w:rPr>
        <w:t>对共用设施设备进行日常管理和维修养护（专项委外内容除外）。</w:t>
      </w:r>
    </w:p>
    <w:p>
      <w:pPr>
        <w:pStyle w:val="null3"/>
        <w:ind w:firstLine="480"/>
      </w:pPr>
      <w:r>
        <w:rPr>
          <w:rFonts w:ascii="仿宋_GB2312" w:hAnsi="仿宋_GB2312" w:cs="仿宋_GB2312" w:eastAsia="仿宋_GB2312"/>
          <w:sz w:val="24"/>
          <w:color w:val="000000"/>
        </w:rPr>
        <w:t>1.3.2</w:t>
      </w:r>
      <w:r>
        <w:rPr>
          <w:rFonts w:ascii="仿宋_GB2312" w:hAnsi="仿宋_GB2312" w:cs="仿宋_GB2312" w:eastAsia="仿宋_GB2312"/>
          <w:sz w:val="24"/>
          <w:color w:val="000000"/>
        </w:rPr>
        <w:t>建立共用设施设备档案（设备台帐），设施设备的运行、检查、维修、保养等记录齐全。</w:t>
      </w:r>
    </w:p>
    <w:p>
      <w:pPr>
        <w:pStyle w:val="null3"/>
        <w:ind w:firstLine="480"/>
      </w:pPr>
      <w:r>
        <w:rPr>
          <w:rFonts w:ascii="仿宋_GB2312" w:hAnsi="仿宋_GB2312" w:cs="仿宋_GB2312" w:eastAsia="仿宋_GB2312"/>
          <w:sz w:val="24"/>
          <w:color w:val="000000"/>
        </w:rPr>
        <w:t>1.3.3</w:t>
      </w:r>
      <w:r>
        <w:rPr>
          <w:rFonts w:ascii="仿宋_GB2312" w:hAnsi="仿宋_GB2312" w:cs="仿宋_GB2312" w:eastAsia="仿宋_GB2312"/>
          <w:sz w:val="24"/>
          <w:color w:val="000000"/>
        </w:rPr>
        <w:t>设施设备标志齐全、规范，责任人明确；操作维护人员严格执行设施设备操作规程及保养规范；设施设备运行正常。</w:t>
      </w:r>
    </w:p>
    <w:p>
      <w:pPr>
        <w:pStyle w:val="null3"/>
        <w:ind w:firstLine="480"/>
      </w:pPr>
      <w:r>
        <w:rPr>
          <w:rFonts w:ascii="仿宋_GB2312" w:hAnsi="仿宋_GB2312" w:cs="仿宋_GB2312" w:eastAsia="仿宋_GB2312"/>
          <w:sz w:val="24"/>
          <w:color w:val="000000"/>
        </w:rPr>
        <w:t>1.3.4</w:t>
      </w:r>
      <w:r>
        <w:rPr>
          <w:rFonts w:ascii="仿宋_GB2312" w:hAnsi="仿宋_GB2312" w:cs="仿宋_GB2312" w:eastAsia="仿宋_GB2312"/>
          <w:sz w:val="24"/>
          <w:color w:val="000000"/>
        </w:rPr>
        <w:t>设备房保持整洁、通风，无跑、冒、滴、漏和鼠害现象。</w:t>
      </w:r>
    </w:p>
    <w:p>
      <w:pPr>
        <w:pStyle w:val="null3"/>
        <w:ind w:firstLine="480"/>
      </w:pPr>
      <w:r>
        <w:rPr>
          <w:rFonts w:ascii="仿宋_GB2312" w:hAnsi="仿宋_GB2312" w:cs="仿宋_GB2312" w:eastAsia="仿宋_GB2312"/>
          <w:sz w:val="24"/>
          <w:color w:val="000000"/>
        </w:rPr>
        <w:t>1.3.5</w:t>
      </w:r>
      <w:r>
        <w:rPr>
          <w:rFonts w:ascii="仿宋_GB2312" w:hAnsi="仿宋_GB2312" w:cs="仿宋_GB2312" w:eastAsia="仿宋_GB2312"/>
          <w:sz w:val="24"/>
          <w:color w:val="000000"/>
        </w:rPr>
        <w:t>消防设施设备完好，可随时启用；消防通道畅通。如遇紧急突发情况，成交人能及时派出应急电源车、应急消防车、消防工程车等车辆设备进行消防应急。</w:t>
      </w:r>
    </w:p>
    <w:p>
      <w:pPr>
        <w:pStyle w:val="null3"/>
        <w:ind w:firstLine="480"/>
      </w:pPr>
      <w:r>
        <w:rPr>
          <w:rFonts w:ascii="仿宋_GB2312" w:hAnsi="仿宋_GB2312" w:cs="仿宋_GB2312" w:eastAsia="仿宋_GB2312"/>
          <w:sz w:val="24"/>
          <w:color w:val="000000"/>
        </w:rPr>
        <w:t>1.3.6</w:t>
      </w:r>
      <w:r>
        <w:rPr>
          <w:rFonts w:ascii="仿宋_GB2312" w:hAnsi="仿宋_GB2312" w:cs="仿宋_GB2312" w:eastAsia="仿宋_GB2312"/>
          <w:sz w:val="24"/>
          <w:color w:val="000000"/>
        </w:rPr>
        <w:t>辖区道路平整，主要道路及停车场交通标志齐全、规范。</w:t>
      </w:r>
    </w:p>
    <w:p>
      <w:pPr>
        <w:pStyle w:val="null3"/>
        <w:ind w:firstLine="480"/>
      </w:pPr>
      <w:r>
        <w:rPr>
          <w:rFonts w:ascii="仿宋_GB2312" w:hAnsi="仿宋_GB2312" w:cs="仿宋_GB2312" w:eastAsia="仿宋_GB2312"/>
          <w:sz w:val="24"/>
          <w:color w:val="000000"/>
        </w:rPr>
        <w:t>1.3.7</w:t>
      </w:r>
      <w:r>
        <w:rPr>
          <w:rFonts w:ascii="仿宋_GB2312" w:hAnsi="仿宋_GB2312" w:cs="仿宋_GB2312" w:eastAsia="仿宋_GB2312"/>
          <w:sz w:val="24"/>
          <w:color w:val="000000"/>
        </w:rPr>
        <w:t>容易危及人身安全的设施设备有明显警示标志和防范措施；对可能发生的各种突发设备故障有应急方案。</w:t>
      </w:r>
    </w:p>
    <w:p>
      <w:pPr>
        <w:pStyle w:val="null3"/>
        <w:ind w:firstLine="480"/>
      </w:pPr>
      <w:r>
        <w:rPr>
          <w:rFonts w:ascii="仿宋_GB2312" w:hAnsi="仿宋_GB2312" w:cs="仿宋_GB2312" w:eastAsia="仿宋_GB2312"/>
          <w:sz w:val="24"/>
          <w:color w:val="000000"/>
        </w:rPr>
        <w:t>1.4</w:t>
      </w:r>
      <w:r>
        <w:rPr>
          <w:rFonts w:ascii="仿宋_GB2312" w:hAnsi="仿宋_GB2312" w:cs="仿宋_GB2312" w:eastAsia="仿宋_GB2312"/>
          <w:sz w:val="24"/>
          <w:color w:val="000000"/>
        </w:rPr>
        <w:t>协助维护公共秩序（含信访工作的协助）处置</w:t>
      </w:r>
    </w:p>
    <w:p>
      <w:pPr>
        <w:pStyle w:val="null3"/>
        <w:ind w:firstLine="480"/>
      </w:pPr>
      <w:r>
        <w:rPr>
          <w:rFonts w:ascii="仿宋_GB2312" w:hAnsi="仿宋_GB2312" w:cs="仿宋_GB2312" w:eastAsia="仿宋_GB2312"/>
          <w:sz w:val="24"/>
          <w:color w:val="000000"/>
        </w:rPr>
        <w:t>1.4.1</w:t>
      </w:r>
      <w:r>
        <w:rPr>
          <w:rFonts w:ascii="仿宋_GB2312" w:hAnsi="仿宋_GB2312" w:cs="仿宋_GB2312" w:eastAsia="仿宋_GB2312"/>
          <w:sz w:val="24"/>
          <w:color w:val="000000"/>
        </w:rPr>
        <w:t>来访来客按要求进行安检、做好登记记录。</w:t>
      </w:r>
    </w:p>
    <w:p>
      <w:pPr>
        <w:pStyle w:val="null3"/>
        <w:ind w:firstLine="480"/>
      </w:pPr>
      <w:r>
        <w:rPr>
          <w:rFonts w:ascii="仿宋_GB2312" w:hAnsi="仿宋_GB2312" w:cs="仿宋_GB2312" w:eastAsia="仿宋_GB2312"/>
          <w:sz w:val="24"/>
          <w:color w:val="000000"/>
        </w:rPr>
        <w:t>1.4.2</w:t>
      </w:r>
      <w:r>
        <w:rPr>
          <w:rFonts w:ascii="仿宋_GB2312" w:hAnsi="仿宋_GB2312" w:cs="仿宋_GB2312" w:eastAsia="仿宋_GB2312"/>
          <w:sz w:val="24"/>
          <w:color w:val="000000"/>
        </w:rPr>
        <w:t>智能监控系统，实施24小时监控。</w:t>
      </w:r>
    </w:p>
    <w:p>
      <w:pPr>
        <w:pStyle w:val="null3"/>
        <w:ind w:firstLine="480"/>
      </w:pPr>
      <w:r>
        <w:rPr>
          <w:rFonts w:ascii="仿宋_GB2312" w:hAnsi="仿宋_GB2312" w:cs="仿宋_GB2312" w:eastAsia="仿宋_GB2312"/>
          <w:sz w:val="24"/>
          <w:color w:val="000000"/>
        </w:rPr>
        <w:t>1.4.3</w:t>
      </w:r>
      <w:r>
        <w:rPr>
          <w:rFonts w:ascii="仿宋_GB2312" w:hAnsi="仿宋_GB2312" w:cs="仿宋_GB2312" w:eastAsia="仿宋_GB2312"/>
          <w:sz w:val="24"/>
          <w:color w:val="000000"/>
        </w:rPr>
        <w:t>落实安全防护岗位责任制，实行24小时安全防范巡视。</w:t>
      </w:r>
    </w:p>
    <w:p>
      <w:pPr>
        <w:pStyle w:val="null3"/>
        <w:ind w:firstLine="480"/>
      </w:pPr>
      <w:r>
        <w:rPr>
          <w:rFonts w:ascii="仿宋_GB2312" w:hAnsi="仿宋_GB2312" w:cs="仿宋_GB2312" w:eastAsia="仿宋_GB2312"/>
          <w:sz w:val="24"/>
          <w:color w:val="000000"/>
        </w:rPr>
        <w:t>1.4.4</w:t>
      </w:r>
      <w:r>
        <w:rPr>
          <w:rFonts w:ascii="仿宋_GB2312" w:hAnsi="仿宋_GB2312" w:cs="仿宋_GB2312" w:eastAsia="仿宋_GB2312"/>
          <w:sz w:val="24"/>
          <w:color w:val="000000"/>
        </w:rPr>
        <w:t>对进出的车辆实行证、卡管理，引导车辆有序通行、停放。对实行保管的车辆，保证车辆停放安全。</w:t>
      </w:r>
    </w:p>
    <w:p>
      <w:pPr>
        <w:pStyle w:val="null3"/>
        <w:ind w:firstLine="480"/>
      </w:pPr>
      <w:r>
        <w:rPr>
          <w:rFonts w:ascii="仿宋_GB2312" w:hAnsi="仿宋_GB2312" w:cs="仿宋_GB2312" w:eastAsia="仿宋_GB2312"/>
          <w:sz w:val="24"/>
          <w:color w:val="000000"/>
        </w:rPr>
        <w:t>1.4.5</w:t>
      </w:r>
      <w:r>
        <w:rPr>
          <w:rFonts w:ascii="仿宋_GB2312" w:hAnsi="仿宋_GB2312" w:cs="仿宋_GB2312" w:eastAsia="仿宋_GB2312"/>
          <w:sz w:val="24"/>
          <w:color w:val="000000"/>
        </w:rPr>
        <w:t>设立应急救助预案，实行救助，设立24小时专线救助电话。</w:t>
      </w:r>
    </w:p>
    <w:p>
      <w:pPr>
        <w:pStyle w:val="null3"/>
        <w:ind w:firstLine="480"/>
      </w:pPr>
      <w:r>
        <w:rPr>
          <w:rFonts w:ascii="仿宋_GB2312" w:hAnsi="仿宋_GB2312" w:cs="仿宋_GB2312" w:eastAsia="仿宋_GB2312"/>
          <w:sz w:val="24"/>
          <w:color w:val="000000"/>
        </w:rPr>
        <w:t>1.4.6</w:t>
      </w:r>
      <w:r>
        <w:rPr>
          <w:rFonts w:ascii="仿宋_GB2312" w:hAnsi="仿宋_GB2312" w:cs="仿宋_GB2312" w:eastAsia="仿宋_GB2312"/>
          <w:sz w:val="24"/>
          <w:color w:val="000000"/>
        </w:rPr>
        <w:t>信访工作的协助处置。</w:t>
      </w:r>
    </w:p>
    <w:p>
      <w:pPr>
        <w:pStyle w:val="null3"/>
        <w:ind w:firstLine="480"/>
      </w:pPr>
      <w:r>
        <w:rPr>
          <w:rFonts w:ascii="仿宋_GB2312" w:hAnsi="仿宋_GB2312" w:cs="仿宋_GB2312" w:eastAsia="仿宋_GB2312"/>
          <w:sz w:val="24"/>
          <w:color w:val="000000"/>
        </w:rPr>
        <w:t>1.4.7</w:t>
      </w:r>
      <w:r>
        <w:rPr>
          <w:rFonts w:ascii="仿宋_GB2312" w:hAnsi="仿宋_GB2312" w:cs="仿宋_GB2312" w:eastAsia="仿宋_GB2312"/>
          <w:sz w:val="24"/>
          <w:color w:val="000000"/>
        </w:rPr>
        <w:t>负责各种报刊、杂志、信件的收发。</w:t>
      </w:r>
    </w:p>
    <w:p>
      <w:pPr>
        <w:pStyle w:val="null3"/>
        <w:ind w:firstLine="480"/>
      </w:pPr>
      <w:r>
        <w:rPr>
          <w:rFonts w:ascii="仿宋_GB2312" w:hAnsi="仿宋_GB2312" w:cs="仿宋_GB2312" w:eastAsia="仿宋_GB2312"/>
          <w:sz w:val="24"/>
          <w:color w:val="000000"/>
        </w:rPr>
        <w:t>1.5</w:t>
      </w:r>
      <w:r>
        <w:rPr>
          <w:rFonts w:ascii="仿宋_GB2312" w:hAnsi="仿宋_GB2312" w:cs="仿宋_GB2312" w:eastAsia="仿宋_GB2312"/>
          <w:sz w:val="24"/>
          <w:color w:val="000000"/>
        </w:rPr>
        <w:t>会务接待保障服务</w:t>
      </w:r>
    </w:p>
    <w:p>
      <w:pPr>
        <w:pStyle w:val="null3"/>
        <w:ind w:firstLine="480"/>
      </w:pPr>
      <w:r>
        <w:rPr>
          <w:rFonts w:ascii="仿宋_GB2312" w:hAnsi="仿宋_GB2312" w:cs="仿宋_GB2312" w:eastAsia="仿宋_GB2312"/>
          <w:sz w:val="24"/>
          <w:color w:val="000000"/>
        </w:rPr>
        <w:t>协助完成公共会议、来宾接待等服务。</w:t>
      </w:r>
    </w:p>
    <w:p>
      <w:pPr>
        <w:pStyle w:val="null3"/>
        <w:ind w:firstLine="480"/>
      </w:pPr>
      <w:r>
        <w:rPr>
          <w:rFonts w:ascii="仿宋_GB2312" w:hAnsi="仿宋_GB2312" w:cs="仿宋_GB2312" w:eastAsia="仿宋_GB2312"/>
          <w:sz w:val="24"/>
          <w:color w:val="000000"/>
        </w:rPr>
        <w:t>1.6</w:t>
      </w:r>
      <w:r>
        <w:rPr>
          <w:rFonts w:ascii="仿宋_GB2312" w:hAnsi="仿宋_GB2312" w:cs="仿宋_GB2312" w:eastAsia="仿宋_GB2312"/>
          <w:sz w:val="24"/>
          <w:color w:val="000000"/>
        </w:rPr>
        <w:t>保洁服务</w:t>
      </w:r>
    </w:p>
    <w:p>
      <w:pPr>
        <w:pStyle w:val="null3"/>
        <w:ind w:firstLine="480"/>
      </w:pPr>
      <w:r>
        <w:rPr>
          <w:rFonts w:ascii="仿宋_GB2312" w:hAnsi="仿宋_GB2312" w:cs="仿宋_GB2312" w:eastAsia="仿宋_GB2312"/>
          <w:sz w:val="24"/>
          <w:color w:val="000000"/>
        </w:rPr>
        <w:t>1.6.1</w:t>
      </w:r>
      <w:r>
        <w:rPr>
          <w:rFonts w:ascii="仿宋_GB2312" w:hAnsi="仿宋_GB2312" w:cs="仿宋_GB2312" w:eastAsia="仿宋_GB2312"/>
          <w:sz w:val="24"/>
          <w:color w:val="000000"/>
        </w:rPr>
        <w:t>负责物业管理区域内共用场所（除个人办公室、个人休息室、仓库等专用房以外）、绿地、主次干道、房屋共用部位（包括外墙、内墙、玻璃等等）的保洁。</w:t>
      </w:r>
    </w:p>
    <w:p>
      <w:pPr>
        <w:pStyle w:val="null3"/>
        <w:ind w:firstLine="480"/>
      </w:pPr>
      <w:r>
        <w:rPr>
          <w:rFonts w:ascii="仿宋_GB2312" w:hAnsi="仿宋_GB2312" w:cs="仿宋_GB2312" w:eastAsia="仿宋_GB2312"/>
          <w:sz w:val="24"/>
          <w:color w:val="000000"/>
        </w:rPr>
        <w:t>1.6.2</w:t>
      </w:r>
      <w:r>
        <w:rPr>
          <w:rFonts w:ascii="仿宋_GB2312" w:hAnsi="仿宋_GB2312" w:cs="仿宋_GB2312" w:eastAsia="仿宋_GB2312"/>
          <w:sz w:val="24"/>
          <w:color w:val="000000"/>
        </w:rPr>
        <w:t>负责垃圾的处理与收集，做到日产日清。</w:t>
      </w:r>
    </w:p>
    <w:p>
      <w:pPr>
        <w:pStyle w:val="null3"/>
        <w:ind w:firstLine="480"/>
      </w:pPr>
      <w:r>
        <w:rPr>
          <w:rFonts w:ascii="仿宋_GB2312" w:hAnsi="仿宋_GB2312" w:cs="仿宋_GB2312" w:eastAsia="仿宋_GB2312"/>
          <w:sz w:val="24"/>
          <w:color w:val="000000"/>
        </w:rPr>
        <w:t>1.6.3</w:t>
      </w:r>
      <w:r>
        <w:rPr>
          <w:rFonts w:ascii="仿宋_GB2312" w:hAnsi="仿宋_GB2312" w:cs="仿宋_GB2312" w:eastAsia="仿宋_GB2312"/>
          <w:sz w:val="24"/>
          <w:color w:val="000000"/>
        </w:rPr>
        <w:t>加强管道疏通，确保区内雨、污水管道通畅、定期清淘化粪池。</w:t>
      </w:r>
    </w:p>
    <w:p>
      <w:pPr>
        <w:pStyle w:val="null3"/>
        <w:ind w:firstLine="480"/>
      </w:pPr>
      <w:r>
        <w:rPr>
          <w:rFonts w:ascii="仿宋_GB2312" w:hAnsi="仿宋_GB2312" w:cs="仿宋_GB2312" w:eastAsia="仿宋_GB2312"/>
          <w:sz w:val="24"/>
          <w:color w:val="000000"/>
        </w:rPr>
        <w:t>1.6.4</w:t>
      </w:r>
      <w:r>
        <w:rPr>
          <w:rFonts w:ascii="仿宋_GB2312" w:hAnsi="仿宋_GB2312" w:cs="仿宋_GB2312" w:eastAsia="仿宋_GB2312"/>
          <w:sz w:val="24"/>
          <w:color w:val="000000"/>
        </w:rPr>
        <w:t>加强二次供水管理、保证水质符合卫生防疫要求。</w:t>
      </w:r>
    </w:p>
    <w:p>
      <w:pPr>
        <w:pStyle w:val="null3"/>
        <w:ind w:firstLine="480"/>
      </w:pPr>
      <w:r>
        <w:rPr>
          <w:rFonts w:ascii="仿宋_GB2312" w:hAnsi="仿宋_GB2312" w:cs="仿宋_GB2312" w:eastAsia="仿宋_GB2312"/>
          <w:sz w:val="24"/>
          <w:color w:val="000000"/>
        </w:rPr>
        <w:t>1.6.5</w:t>
      </w:r>
      <w:r>
        <w:rPr>
          <w:rFonts w:ascii="仿宋_GB2312" w:hAnsi="仿宋_GB2312" w:cs="仿宋_GB2312" w:eastAsia="仿宋_GB2312"/>
          <w:sz w:val="24"/>
          <w:color w:val="000000"/>
        </w:rPr>
        <w:t>加强鼠、蟑、蝇、蚊消杀和白蚁消杀以及其他虫害预防。</w:t>
      </w:r>
    </w:p>
    <w:p>
      <w:pPr>
        <w:pStyle w:val="null3"/>
        <w:ind w:firstLine="480"/>
      </w:pPr>
      <w:r>
        <w:rPr>
          <w:rFonts w:ascii="仿宋_GB2312" w:hAnsi="仿宋_GB2312" w:cs="仿宋_GB2312" w:eastAsia="仿宋_GB2312"/>
          <w:sz w:val="24"/>
          <w:color w:val="000000"/>
        </w:rPr>
        <w:t>1.6.6</w:t>
      </w:r>
      <w:r>
        <w:rPr>
          <w:rFonts w:ascii="仿宋_GB2312" w:hAnsi="仿宋_GB2312" w:cs="仿宋_GB2312" w:eastAsia="仿宋_GB2312"/>
          <w:sz w:val="24"/>
          <w:color w:val="000000"/>
        </w:rPr>
        <w:t>保洁服务内容与标准（另行约定）</w:t>
      </w:r>
    </w:p>
    <w:p>
      <w:pPr>
        <w:pStyle w:val="null3"/>
        <w:ind w:firstLine="480"/>
      </w:pPr>
      <w:r>
        <w:rPr>
          <w:rFonts w:ascii="仿宋_GB2312" w:hAnsi="仿宋_GB2312" w:cs="仿宋_GB2312" w:eastAsia="仿宋_GB2312"/>
          <w:sz w:val="24"/>
          <w:color w:val="000000"/>
        </w:rPr>
        <w:t>1.7</w:t>
      </w:r>
      <w:r>
        <w:rPr>
          <w:rFonts w:ascii="仿宋_GB2312" w:hAnsi="仿宋_GB2312" w:cs="仿宋_GB2312" w:eastAsia="仿宋_GB2312"/>
          <w:sz w:val="24"/>
          <w:color w:val="000000"/>
        </w:rPr>
        <w:t>绿化养护管理</w:t>
      </w:r>
    </w:p>
    <w:p>
      <w:pPr>
        <w:pStyle w:val="null3"/>
        <w:ind w:firstLine="480"/>
      </w:pPr>
      <w:r>
        <w:rPr>
          <w:rFonts w:ascii="仿宋_GB2312" w:hAnsi="仿宋_GB2312" w:cs="仿宋_GB2312" w:eastAsia="仿宋_GB2312"/>
          <w:sz w:val="24"/>
          <w:color w:val="000000"/>
        </w:rPr>
        <w:t>有专业人员实施绿化养护管理，包括水分管理、施肥、修剪、病虫害防治、中耕除草、绿化保洁等。</w:t>
      </w:r>
    </w:p>
    <w:p>
      <w:pPr>
        <w:pStyle w:val="null3"/>
        <w:ind w:firstLine="480"/>
      </w:pPr>
      <w:r>
        <w:rPr>
          <w:rFonts w:ascii="仿宋_GB2312" w:hAnsi="仿宋_GB2312" w:cs="仿宋_GB2312" w:eastAsia="仿宋_GB2312"/>
          <w:sz w:val="24"/>
          <w:color w:val="000000"/>
        </w:rPr>
        <w:t>1.8</w:t>
      </w:r>
      <w:r>
        <w:rPr>
          <w:rFonts w:ascii="仿宋_GB2312" w:hAnsi="仿宋_GB2312" w:cs="仿宋_GB2312" w:eastAsia="仿宋_GB2312"/>
          <w:sz w:val="24"/>
          <w:color w:val="000000"/>
        </w:rPr>
        <w:t>财务管理</w:t>
      </w:r>
    </w:p>
    <w:p>
      <w:pPr>
        <w:pStyle w:val="null3"/>
        <w:ind w:firstLine="480"/>
      </w:pPr>
      <w:r>
        <w:rPr>
          <w:rFonts w:ascii="仿宋_GB2312" w:hAnsi="仿宋_GB2312" w:cs="仿宋_GB2312" w:eastAsia="仿宋_GB2312"/>
          <w:sz w:val="24"/>
          <w:color w:val="000000"/>
        </w:rPr>
        <w:t>1.8.1</w:t>
      </w:r>
      <w:r>
        <w:rPr>
          <w:rFonts w:ascii="仿宋_GB2312" w:hAnsi="仿宋_GB2312" w:cs="仿宋_GB2312" w:eastAsia="仿宋_GB2312"/>
          <w:sz w:val="24"/>
          <w:color w:val="000000"/>
        </w:rPr>
        <w:t>制定健全的财务管理制度。</w:t>
      </w:r>
    </w:p>
    <w:p>
      <w:pPr>
        <w:pStyle w:val="null3"/>
        <w:ind w:firstLine="480"/>
      </w:pPr>
      <w:r>
        <w:rPr>
          <w:rFonts w:ascii="仿宋_GB2312" w:hAnsi="仿宋_GB2312" w:cs="仿宋_GB2312" w:eastAsia="仿宋_GB2312"/>
          <w:sz w:val="24"/>
          <w:color w:val="000000"/>
        </w:rPr>
        <w:t>1.8.2</w:t>
      </w:r>
      <w:r>
        <w:rPr>
          <w:rFonts w:ascii="仿宋_GB2312" w:hAnsi="仿宋_GB2312" w:cs="仿宋_GB2312" w:eastAsia="仿宋_GB2312"/>
          <w:sz w:val="24"/>
          <w:color w:val="000000"/>
        </w:rPr>
        <w:t>本项目实行独立财务的核算制度。</w:t>
      </w:r>
    </w:p>
    <w:p>
      <w:pPr>
        <w:pStyle w:val="null3"/>
        <w:ind w:firstLine="482"/>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、人员岗位要求</w:t>
      </w:r>
    </w:p>
    <w:p>
      <w:pPr>
        <w:pStyle w:val="null3"/>
        <w:ind w:firstLine="480"/>
      </w:pPr>
      <w:r>
        <w:rPr>
          <w:rFonts w:ascii="仿宋_GB2312" w:hAnsi="仿宋_GB2312" w:cs="仿宋_GB2312" w:eastAsia="仿宋_GB2312"/>
          <w:sz w:val="24"/>
          <w:color w:val="000000"/>
        </w:rPr>
        <w:t>2.1</w:t>
      </w:r>
      <w:r>
        <w:rPr>
          <w:rFonts w:ascii="仿宋_GB2312" w:hAnsi="仿宋_GB2312" w:cs="仿宋_GB2312" w:eastAsia="仿宋_GB2312"/>
          <w:sz w:val="24"/>
          <w:color w:val="000000"/>
        </w:rPr>
        <w:t>岗位人员最低配置要求：管理岗1个，工程岗（机电人员）1个，维序岗不少于7个，保洁岗不少于4个。</w:t>
      </w:r>
    </w:p>
    <w:p>
      <w:pPr>
        <w:pStyle w:val="null3"/>
        <w:ind w:firstLine="480"/>
      </w:pPr>
      <w:r>
        <w:rPr>
          <w:rFonts w:ascii="仿宋_GB2312" w:hAnsi="仿宋_GB2312" w:cs="仿宋_GB2312" w:eastAsia="仿宋_GB2312"/>
          <w:sz w:val="24"/>
          <w:color w:val="000000"/>
        </w:rPr>
        <w:t>2.2</w:t>
      </w:r>
      <w:r>
        <w:rPr>
          <w:rFonts w:ascii="仿宋_GB2312" w:hAnsi="仿宋_GB2312" w:cs="仿宋_GB2312" w:eastAsia="仿宋_GB2312"/>
          <w:sz w:val="24"/>
          <w:color w:val="000000"/>
        </w:rPr>
        <w:t>供应商拟派本项目的项目管理员本科学历且具有与项目管理相关（例如财务、人力资源管理、企业管理、工程）中级及以上职称的，可提供人员相关有效证书扫描件及近6个月内任意连续3个月（不含磋商截止当月，成立不足3个月的提供自成立以来）的社保缴交证明材料。</w:t>
      </w:r>
    </w:p>
    <w:p>
      <w:pPr>
        <w:pStyle w:val="null3"/>
        <w:ind w:firstLine="480"/>
        <w:jc w:val="both"/>
      </w:pPr>
      <w:r>
        <w:rPr>
          <w:rFonts w:ascii="仿宋_GB2312" w:hAnsi="仿宋_GB2312" w:cs="仿宋_GB2312" w:eastAsia="仿宋_GB2312"/>
          <w:sz w:val="24"/>
          <w:color w:val="000000"/>
        </w:rPr>
        <w:t>2.3</w:t>
      </w:r>
      <w:r>
        <w:rPr>
          <w:rFonts w:ascii="仿宋_GB2312" w:hAnsi="仿宋_GB2312" w:cs="仿宋_GB2312" w:eastAsia="仿宋_GB2312"/>
          <w:sz w:val="24"/>
          <w:color w:val="000000"/>
        </w:rPr>
        <w:t>供应商拟派本项目机电人员持有高压电工证书、持有特种设备安全管理员证书或电梯安装维修工证书、持有消防设施操作员证书或建（构）筑消防员证的，可提供人员相关有效证书扫描件及近6个月内任意连续3个月（不含磋商截止当月，成立不足3个月的提供自成立以来）的社保缴交证明材料。</w:t>
      </w:r>
    </w:p>
    <w:p>
      <w:pPr>
        <w:pStyle w:val="null3"/>
        <w:ind w:firstLine="480"/>
        <w:jc w:val="both"/>
      </w:pPr>
      <w:r>
        <w:rPr>
          <w:rFonts w:ascii="仿宋_GB2312" w:hAnsi="仿宋_GB2312" w:cs="仿宋_GB2312" w:eastAsia="仿宋_GB2312"/>
          <w:sz w:val="24"/>
          <w:color w:val="000000"/>
        </w:rPr>
        <w:t>2.4</w:t>
      </w:r>
      <w:r>
        <w:rPr>
          <w:rFonts w:ascii="仿宋_GB2312" w:hAnsi="仿宋_GB2312" w:cs="仿宋_GB2312" w:eastAsia="仿宋_GB2312"/>
          <w:sz w:val="24"/>
          <w:color w:val="000000"/>
        </w:rPr>
        <w:t>供应商拟派本项目维序员持有保安证，在此基础上持有退伍证的，可提供人员相关有效证书扫描件及近近6个月内任意连续3个月（不含磋商截止当月，成立不足3个月的提供自成立以来）的社保缴交证明材料。</w:t>
      </w:r>
    </w:p>
    <w:p>
      <w:pPr>
        <w:pStyle w:val="null3"/>
        <w:ind w:firstLine="480"/>
        <w:jc w:val="both"/>
      </w:pPr>
      <w:r>
        <w:rPr>
          <w:rFonts w:ascii="仿宋_GB2312" w:hAnsi="仿宋_GB2312" w:cs="仿宋_GB2312" w:eastAsia="仿宋_GB2312"/>
          <w:sz w:val="24"/>
          <w:color w:val="000000"/>
        </w:rPr>
        <w:t>2.5</w:t>
      </w:r>
      <w:r>
        <w:rPr>
          <w:rFonts w:ascii="仿宋_GB2312" w:hAnsi="仿宋_GB2312" w:cs="仿宋_GB2312" w:eastAsia="仿宋_GB2312"/>
          <w:sz w:val="24"/>
          <w:color w:val="000000"/>
        </w:rPr>
        <w:t>供应商拟派本项目的维序员持有保安证，在此基础上具备消防设施操作员或建（构）筑消防员证的，可提供人员相关有效证书扫描件及近6个月内任意连续3个月（不含磋商截止当月，成立不足3个月的提供自成立以来）的社保缴交证明材料。。</w:t>
      </w:r>
    </w:p>
    <w:p>
      <w:pPr>
        <w:pStyle w:val="null3"/>
        <w:ind w:firstLine="482"/>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、服务响应要求</w:t>
      </w:r>
    </w:p>
    <w:p>
      <w:pPr>
        <w:pStyle w:val="null3"/>
        <w:ind w:firstLine="480"/>
        <w:jc w:val="both"/>
      </w:pPr>
      <w:r>
        <w:rPr>
          <w:rFonts w:ascii="仿宋_GB2312" w:hAnsi="仿宋_GB2312" w:cs="仿宋_GB2312" w:eastAsia="仿宋_GB2312"/>
          <w:sz w:val="24"/>
          <w:color w:val="000000"/>
        </w:rPr>
        <w:t>3.1</w:t>
      </w:r>
      <w:r>
        <w:rPr>
          <w:rFonts w:ascii="仿宋_GB2312" w:hAnsi="仿宋_GB2312" w:cs="仿宋_GB2312" w:eastAsia="仿宋_GB2312"/>
          <w:sz w:val="24"/>
          <w:color w:val="000000"/>
        </w:rPr>
        <w:t>供应商可阐述承接本项目的能力与优势以及针对采购人需求提出的具体服务方案等（包括但不限于基础服务方案、经营管理服务本项目的能力与优势、对采购人的管理建议等）。</w:t>
      </w:r>
    </w:p>
    <w:p>
      <w:pPr>
        <w:pStyle w:val="null3"/>
        <w:ind w:firstLine="480"/>
        <w:jc w:val="both"/>
      </w:pPr>
      <w:r>
        <w:rPr>
          <w:rFonts w:ascii="仿宋_GB2312" w:hAnsi="仿宋_GB2312" w:cs="仿宋_GB2312" w:eastAsia="仿宋_GB2312"/>
          <w:sz w:val="24"/>
          <w:color w:val="000000"/>
        </w:rPr>
        <w:t>3.2</w:t>
      </w:r>
      <w:r>
        <w:rPr>
          <w:rFonts w:ascii="仿宋_GB2312" w:hAnsi="仿宋_GB2312" w:cs="仿宋_GB2312" w:eastAsia="仿宋_GB2312"/>
          <w:sz w:val="24"/>
          <w:color w:val="000000"/>
        </w:rPr>
        <w:t>供应商可提供对本项目物业管理的服务理念和整体目标、服务质量控制方式和服务预期效果等。</w:t>
      </w:r>
    </w:p>
    <w:p>
      <w:pPr>
        <w:pStyle w:val="null3"/>
        <w:ind w:firstLine="480"/>
        <w:jc w:val="both"/>
      </w:pPr>
      <w:r>
        <w:rPr>
          <w:rFonts w:ascii="仿宋_GB2312" w:hAnsi="仿宋_GB2312" w:cs="仿宋_GB2312" w:eastAsia="仿宋_GB2312"/>
          <w:sz w:val="24"/>
          <w:color w:val="000000"/>
        </w:rPr>
        <w:t>3.3</w:t>
      </w:r>
      <w:r>
        <w:rPr>
          <w:rFonts w:ascii="仿宋_GB2312" w:hAnsi="仿宋_GB2312" w:cs="仿宋_GB2312" w:eastAsia="仿宋_GB2312"/>
          <w:sz w:val="24"/>
          <w:color w:val="000000"/>
        </w:rPr>
        <w:t>供应商可对本项目的物业服务特点，对物业建筑结构、配套设施等方面进行分析，列出的管理难点并提供相应管理措施等。</w:t>
      </w:r>
    </w:p>
    <w:p>
      <w:pPr>
        <w:pStyle w:val="null3"/>
        <w:ind w:firstLine="480"/>
        <w:jc w:val="both"/>
      </w:pPr>
      <w:r>
        <w:rPr>
          <w:rFonts w:ascii="仿宋_GB2312" w:hAnsi="仿宋_GB2312" w:cs="仿宋_GB2312" w:eastAsia="仿宋_GB2312"/>
          <w:sz w:val="24"/>
          <w:color w:val="000000"/>
        </w:rPr>
        <w:t>3.4</w:t>
      </w:r>
      <w:r>
        <w:rPr>
          <w:rFonts w:ascii="仿宋_GB2312" w:hAnsi="仿宋_GB2312" w:cs="仿宋_GB2312" w:eastAsia="仿宋_GB2312"/>
          <w:sz w:val="24"/>
          <w:color w:val="000000"/>
        </w:rPr>
        <w:t>供应商可提供的设施设备的维护管理方案（包括但不限于水电维修管理、电梯、消防等系统日常维修养护工作）。</w:t>
      </w:r>
    </w:p>
    <w:p>
      <w:pPr>
        <w:pStyle w:val="null3"/>
        <w:ind w:firstLine="480"/>
        <w:jc w:val="both"/>
      </w:pPr>
      <w:r>
        <w:rPr>
          <w:rFonts w:ascii="仿宋_GB2312" w:hAnsi="仿宋_GB2312" w:cs="仿宋_GB2312" w:eastAsia="仿宋_GB2312"/>
          <w:sz w:val="24"/>
          <w:color w:val="000000"/>
        </w:rPr>
        <w:t>3.5</w:t>
      </w:r>
      <w:r>
        <w:rPr>
          <w:rFonts w:ascii="仿宋_GB2312" w:hAnsi="仿宋_GB2312" w:cs="仿宋_GB2312" w:eastAsia="仿宋_GB2312"/>
          <w:sz w:val="24"/>
          <w:color w:val="000000"/>
        </w:rPr>
        <w:t>供应商可提供具体的消防安全管理工作流程、工作细则、消防知识教育及保障服务质量措施的消防管理方案。</w:t>
      </w:r>
    </w:p>
    <w:p>
      <w:pPr>
        <w:pStyle w:val="null3"/>
        <w:ind w:firstLine="480"/>
        <w:jc w:val="both"/>
      </w:pPr>
      <w:r>
        <w:rPr>
          <w:rFonts w:ascii="仿宋_GB2312" w:hAnsi="仿宋_GB2312" w:cs="仿宋_GB2312" w:eastAsia="仿宋_GB2312"/>
          <w:sz w:val="24"/>
          <w:color w:val="000000"/>
        </w:rPr>
        <w:t>3.6</w:t>
      </w:r>
      <w:r>
        <w:rPr>
          <w:rFonts w:ascii="仿宋_GB2312" w:hAnsi="仿宋_GB2312" w:cs="仿宋_GB2312" w:eastAsia="仿宋_GB2312"/>
          <w:sz w:val="24"/>
          <w:color w:val="000000"/>
        </w:rPr>
        <w:t>供应商可提供有有具体的门岗执勤、安全巡逻、车辆引导管理的工作流程，服务标准及保障服务质量措施的公共秩序维护服务及车辆停放管理方案。</w:t>
      </w:r>
    </w:p>
    <w:p>
      <w:pPr>
        <w:pStyle w:val="null3"/>
        <w:ind w:firstLine="480"/>
        <w:jc w:val="both"/>
      </w:pPr>
      <w:r>
        <w:rPr>
          <w:rFonts w:ascii="仿宋_GB2312" w:hAnsi="仿宋_GB2312" w:cs="仿宋_GB2312" w:eastAsia="仿宋_GB2312"/>
          <w:sz w:val="24"/>
          <w:color w:val="000000"/>
        </w:rPr>
        <w:t>3.7</w:t>
      </w:r>
      <w:r>
        <w:rPr>
          <w:rFonts w:ascii="仿宋_GB2312" w:hAnsi="仿宋_GB2312" w:cs="仿宋_GB2312" w:eastAsia="仿宋_GB2312"/>
          <w:sz w:val="24"/>
          <w:color w:val="000000"/>
        </w:rPr>
        <w:t>供应商可提供有具体的环境卫生管理流程、消杀组织计划、保洁工作规范及标准及保障服务质量措施的公共环境卫生管理方案。</w:t>
      </w:r>
    </w:p>
    <w:p>
      <w:pPr>
        <w:pStyle w:val="null3"/>
        <w:ind w:firstLine="480"/>
        <w:jc w:val="both"/>
      </w:pPr>
      <w:r>
        <w:rPr>
          <w:rFonts w:ascii="仿宋_GB2312" w:hAnsi="仿宋_GB2312" w:cs="仿宋_GB2312" w:eastAsia="仿宋_GB2312"/>
          <w:sz w:val="24"/>
          <w:color w:val="000000"/>
        </w:rPr>
        <w:t>3.8</w:t>
      </w:r>
      <w:r>
        <w:rPr>
          <w:rFonts w:ascii="仿宋_GB2312" w:hAnsi="仿宋_GB2312" w:cs="仿宋_GB2312" w:eastAsia="仿宋_GB2312"/>
          <w:sz w:val="24"/>
          <w:color w:val="000000"/>
        </w:rPr>
        <w:t>供应商可提供有具体的垃圾分类宣传办法、管理流程及保障服务质量措施的垃圾分类服务方案。</w:t>
      </w:r>
    </w:p>
    <w:p>
      <w:pPr>
        <w:pStyle w:val="null3"/>
        <w:ind w:firstLine="480"/>
        <w:jc w:val="both"/>
      </w:pPr>
      <w:r>
        <w:rPr>
          <w:rFonts w:ascii="仿宋_GB2312" w:hAnsi="仿宋_GB2312" w:cs="仿宋_GB2312" w:eastAsia="仿宋_GB2312"/>
          <w:sz w:val="24"/>
          <w:color w:val="000000"/>
        </w:rPr>
        <w:t>3.9</w:t>
      </w:r>
      <w:r>
        <w:rPr>
          <w:rFonts w:ascii="仿宋_GB2312" w:hAnsi="仿宋_GB2312" w:cs="仿宋_GB2312" w:eastAsia="仿宋_GB2312"/>
          <w:sz w:val="24"/>
          <w:color w:val="000000"/>
        </w:rPr>
        <w:t>供应商可提供有具体的养护流程规范、病虫检查及消杀办法及保障服务质量措施的绿化养护管理方案。</w:t>
      </w:r>
    </w:p>
    <w:p>
      <w:pPr>
        <w:pStyle w:val="null3"/>
        <w:ind w:firstLine="480"/>
        <w:jc w:val="both"/>
      </w:pPr>
      <w:r>
        <w:rPr>
          <w:rFonts w:ascii="仿宋_GB2312" w:hAnsi="仿宋_GB2312" w:cs="仿宋_GB2312" w:eastAsia="仿宋_GB2312"/>
          <w:sz w:val="24"/>
          <w:color w:val="000000"/>
        </w:rPr>
        <w:t>3.10</w:t>
      </w:r>
      <w:r>
        <w:rPr>
          <w:rFonts w:ascii="仿宋_GB2312" w:hAnsi="仿宋_GB2312" w:cs="仿宋_GB2312" w:eastAsia="仿宋_GB2312"/>
          <w:sz w:val="24"/>
          <w:color w:val="000000"/>
        </w:rPr>
        <w:t>供应商可提供有具体的保存管理制度、档案调阅检查制度，有服务期结束后的档案移交办法的档案建立与管理方案。</w:t>
      </w:r>
    </w:p>
    <w:p>
      <w:pPr>
        <w:pStyle w:val="null3"/>
        <w:ind w:firstLine="480"/>
        <w:jc w:val="both"/>
      </w:pPr>
      <w:r>
        <w:rPr>
          <w:rFonts w:ascii="仿宋_GB2312" w:hAnsi="仿宋_GB2312" w:cs="仿宋_GB2312" w:eastAsia="仿宋_GB2312"/>
          <w:sz w:val="24"/>
          <w:color w:val="000000"/>
        </w:rPr>
        <w:t>3.11</w:t>
      </w:r>
      <w:r>
        <w:rPr>
          <w:rFonts w:ascii="仿宋_GB2312" w:hAnsi="仿宋_GB2312" w:cs="仿宋_GB2312" w:eastAsia="仿宋_GB2312"/>
          <w:sz w:val="24"/>
          <w:color w:val="000000"/>
        </w:rPr>
        <w:t>供应商可制定方案分析详细具体、调研充分的重大活动后勤保障服务方案。</w:t>
      </w:r>
    </w:p>
    <w:p>
      <w:pPr>
        <w:pStyle w:val="null3"/>
        <w:ind w:firstLine="480"/>
        <w:jc w:val="both"/>
      </w:pPr>
      <w:r>
        <w:rPr>
          <w:rFonts w:ascii="仿宋_GB2312" w:hAnsi="仿宋_GB2312" w:cs="仿宋_GB2312" w:eastAsia="仿宋_GB2312"/>
          <w:sz w:val="24"/>
          <w:color w:val="000000"/>
        </w:rPr>
        <w:t>3.12</w:t>
      </w:r>
      <w:r>
        <w:rPr>
          <w:rFonts w:ascii="仿宋_GB2312" w:hAnsi="仿宋_GB2312" w:cs="仿宋_GB2312" w:eastAsia="仿宋_GB2312"/>
          <w:sz w:val="24"/>
          <w:color w:val="000000"/>
        </w:rPr>
        <w:t>供应商可提供的物业服务突发事件处理应急方案（日常管理中常见的突发事件包括火警、电梯困人等制定相应的预案)）。</w:t>
      </w:r>
    </w:p>
    <w:p>
      <w:pPr>
        <w:pStyle w:val="null3"/>
        <w:ind w:firstLine="480"/>
        <w:jc w:val="both"/>
      </w:pPr>
      <w:r>
        <w:rPr>
          <w:rFonts w:ascii="仿宋_GB2312" w:hAnsi="仿宋_GB2312" w:cs="仿宋_GB2312" w:eastAsia="仿宋_GB2312"/>
          <w:sz w:val="24"/>
          <w:color w:val="000000"/>
        </w:rPr>
        <w:t>3.13</w:t>
      </w:r>
      <w:r>
        <w:rPr>
          <w:rFonts w:ascii="仿宋_GB2312" w:hAnsi="仿宋_GB2312" w:cs="仿宋_GB2312" w:eastAsia="仿宋_GB2312"/>
          <w:sz w:val="24"/>
          <w:color w:val="000000"/>
        </w:rPr>
        <w:t>供应商可提供天气等（如台风、暴雨等）物业服务突发事件处理应急方案</w:t>
      </w:r>
    </w:p>
    <w:p>
      <w:pPr>
        <w:pStyle w:val="null3"/>
        <w:ind w:firstLine="480"/>
        <w:jc w:val="both"/>
      </w:pPr>
      <w:r>
        <w:rPr>
          <w:rFonts w:ascii="仿宋_GB2312" w:hAnsi="仿宋_GB2312" w:cs="仿宋_GB2312" w:eastAsia="仿宋_GB2312"/>
          <w:sz w:val="24"/>
          <w:color w:val="000000"/>
        </w:rPr>
        <w:t>3.13</w:t>
      </w:r>
      <w:r>
        <w:rPr>
          <w:rFonts w:ascii="仿宋_GB2312" w:hAnsi="仿宋_GB2312" w:cs="仿宋_GB2312" w:eastAsia="仿宋_GB2312"/>
          <w:sz w:val="24"/>
          <w:color w:val="000000"/>
        </w:rPr>
        <w:t>供应商可对本项目垃圾分类正确率≥90%进行承诺，提供书面承诺函（承诺函格式自拟）。</w:t>
      </w:r>
    </w:p>
    <w:p>
      <w:pPr>
        <w:pStyle w:val="null3"/>
        <w:ind w:firstLine="480"/>
        <w:jc w:val="both"/>
      </w:pPr>
      <w:r>
        <w:rPr>
          <w:rFonts w:ascii="仿宋_GB2312" w:hAnsi="仿宋_GB2312" w:cs="仿宋_GB2312" w:eastAsia="仿宋_GB2312"/>
          <w:sz w:val="24"/>
          <w:color w:val="000000"/>
        </w:rPr>
        <w:t>3.14</w:t>
      </w:r>
      <w:r>
        <w:rPr>
          <w:rFonts w:ascii="仿宋_GB2312" w:hAnsi="仿宋_GB2312" w:cs="仿宋_GB2312" w:eastAsia="仿宋_GB2312"/>
          <w:sz w:val="24"/>
          <w:color w:val="000000"/>
        </w:rPr>
        <w:t>供应商可提供组织机构设置、人员岗位职责、技术专业人员资历状况，且内容完整详细的人员配置方案。</w:t>
      </w:r>
    </w:p>
    <w:p>
      <w:pPr>
        <w:pStyle w:val="null3"/>
        <w:ind w:firstLine="480"/>
        <w:jc w:val="both"/>
      </w:pPr>
      <w:r>
        <w:rPr>
          <w:rFonts w:ascii="仿宋_GB2312" w:hAnsi="仿宋_GB2312" w:cs="仿宋_GB2312" w:eastAsia="仿宋_GB2312"/>
          <w:sz w:val="24"/>
          <w:color w:val="000000"/>
        </w:rPr>
        <w:t>3.15</w:t>
      </w:r>
      <w:r>
        <w:rPr>
          <w:rFonts w:ascii="仿宋_GB2312" w:hAnsi="仿宋_GB2312" w:cs="仿宋_GB2312" w:eastAsia="仿宋_GB2312"/>
          <w:sz w:val="24"/>
          <w:color w:val="000000"/>
        </w:rPr>
        <w:t>供应商可提供有具体管理制度、规章制度、奖惩制度的人员管理方案。</w:t>
      </w:r>
    </w:p>
    <w:p>
      <w:pPr>
        <w:pStyle w:val="null3"/>
        <w:ind w:firstLine="480"/>
        <w:jc w:val="both"/>
      </w:pPr>
      <w:r>
        <w:rPr>
          <w:rFonts w:ascii="仿宋_GB2312" w:hAnsi="仿宋_GB2312" w:cs="仿宋_GB2312" w:eastAsia="仿宋_GB2312"/>
          <w:sz w:val="24"/>
          <w:color w:val="000000"/>
        </w:rPr>
        <w:t>3.16</w:t>
      </w:r>
      <w:r>
        <w:rPr>
          <w:rFonts w:ascii="仿宋_GB2312" w:hAnsi="仿宋_GB2312" w:cs="仿宋_GB2312" w:eastAsia="仿宋_GB2312"/>
          <w:sz w:val="24"/>
          <w:color w:val="000000"/>
        </w:rPr>
        <w:t>供应商可针对本项目提供应急电源车、应急消防车和消防工程车，以保障采购人出现的紧急险情排除需要。</w:t>
      </w:r>
    </w:p>
    <w:p>
      <w:pPr>
        <w:pStyle w:val="null3"/>
      </w:pPr>
      <w:r>
        <w:rPr>
          <w:rFonts w:ascii="仿宋_GB2312" w:hAnsi="仿宋_GB2312" w:cs="仿宋_GB2312" w:eastAsia="仿宋_GB2312"/>
          <w:sz w:val="24"/>
          <w:color w:val="000000"/>
        </w:rPr>
        <w:t>3.17</w:t>
      </w:r>
      <w:r>
        <w:rPr>
          <w:rFonts w:ascii="仿宋_GB2312" w:hAnsi="仿宋_GB2312" w:cs="仿宋_GB2312" w:eastAsia="仿宋_GB2312"/>
          <w:sz w:val="24"/>
          <w:color w:val="000000"/>
        </w:rPr>
        <w:t>供应商可提供应急保障（可临时调配应急人员到达现场时间）方案，需提供符合要求，具有书面承诺（格式自拟）。</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本次采购服务期一年。本项目为可延续采购的服务项目，一年服务期满后，在预算资金有保障、服务价格不提高的前提下，采购人根据综合评估的情况可向中标人延续采购，续签采购合同一年，原合同与延续合同的期限累计不超过3年。</w:t>
            </w:r>
          </w:p>
        </w:tc>
      </w:tr>
      <w:tr>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因系统格式固定不可修改，本表序号1“交货时间”修改为：“服务期限”。</w:t>
            </w:r>
          </w:p>
        </w:tc>
      </w:tr>
      <w:tr>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厦门市集美区纪检监察事务中心办公楼内采购人指定地点。</w:t>
            </w:r>
          </w:p>
        </w:tc>
      </w:tr>
      <w:tr>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因系统格式固定不可修改，本表序号3“交货地点”修改为：“服务地点”。</w:t>
            </w:r>
          </w:p>
        </w:tc>
      </w:tr>
      <w:tr>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项目通过采购人考核。</w:t>
            </w:r>
          </w:p>
        </w:tc>
      </w:tr>
      <w:tr>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因系统格式固定不可修改，本表格序号5“交货条件”的要求内容更改为“交付条件”。</w:t>
            </w:r>
          </w:p>
        </w:tc>
      </w:tr>
      <w:tr>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1、期次1，说明：1、验收依据：磋商文件、响应文件、合同、及国家有关的质量标准规定，均为验收依据。 2、合同期内定期考核。 3、验收时成交人必须派代表参加。 4、验收过程所发生的一切费用由成交人承担。</w:t>
            </w:r>
          </w:p>
        </w:tc>
      </w:tr>
      <w:tr>
        <w:tc>
          <w:tcPr>
            <w:tcW w:type="dxa" w:w="2076"/>
          </w:tcPr>
          <w:p>
            <w:pPr>
              <w:pStyle w:val="null3"/>
            </w:pPr>
            <w:r>
              <w:rPr>
                <w:rFonts w:ascii="仿宋_GB2312" w:hAnsi="仿宋_GB2312" w:cs="仿宋_GB2312" w:eastAsia="仿宋_GB2312"/>
              </w:rPr>
              <w:t>9</w:t>
            </w:r>
          </w:p>
        </w:tc>
        <w:tc>
          <w:tcPr>
            <w:tcW w:type="dxa" w:w="2076"/>
          </w:tcP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1、结合考核结果按季度支付，达到付款条件起7日内，支付合同总金额的25.00%</w:t>
            </w:r>
          </w:p>
          <w:p>
            <w:pPr>
              <w:pStyle w:val="null3"/>
            </w:pPr>
            <w:r>
              <w:rPr>
                <w:rFonts w:ascii="仿宋_GB2312" w:hAnsi="仿宋_GB2312" w:cs="仿宋_GB2312" w:eastAsia="仿宋_GB2312"/>
              </w:rPr>
              <w:t>2、结合考核结果按季度支付，达到付款条件起7日内，支付合同总金额的25.00%</w:t>
            </w:r>
          </w:p>
          <w:p>
            <w:pPr>
              <w:pStyle w:val="null3"/>
            </w:pPr>
            <w:r>
              <w:rPr>
                <w:rFonts w:ascii="仿宋_GB2312" w:hAnsi="仿宋_GB2312" w:cs="仿宋_GB2312" w:eastAsia="仿宋_GB2312"/>
              </w:rPr>
              <w:t>3、结合考核结果按季度支付，达到付款条件起7日内，支付合同总金额的25.00%</w:t>
            </w:r>
          </w:p>
          <w:p>
            <w:pPr>
              <w:pStyle w:val="null3"/>
            </w:pPr>
            <w:r>
              <w:rPr>
                <w:rFonts w:ascii="仿宋_GB2312" w:hAnsi="仿宋_GB2312" w:cs="仿宋_GB2312" w:eastAsia="仿宋_GB2312"/>
              </w:rPr>
              <w:t>4、结合考核结果按季度支付，达到付款条件起7日内，支付合同总金额的25.00%</w:t>
            </w:r>
          </w:p>
        </w:tc>
      </w:tr>
      <w:tr>
        <w:tc>
          <w:tcPr>
            <w:tcW w:type="dxa" w:w="2076"/>
          </w:tcPr>
          <w:p>
            <w:pPr>
              <w:pStyle w:val="null3"/>
            </w:pPr>
            <w:r>
              <w:rPr>
                <w:rFonts w:ascii="仿宋_GB2312" w:hAnsi="仿宋_GB2312" w:cs="仿宋_GB2312" w:eastAsia="仿宋_GB2312"/>
              </w:rPr>
              <w:t>10</w:t>
            </w:r>
          </w:p>
        </w:tc>
        <w:tc>
          <w:tcPr>
            <w:tcW w:type="dxa" w:w="2076"/>
          </w:tcP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本采购包履约保证金为合同金额的1.5%</w:t>
            </w:r>
          </w:p>
          <w:p>
            <w:pPr>
              <w:pStyle w:val="null3"/>
            </w:pPr>
            <w:r>
              <w:rPr>
                <w:rFonts w:ascii="仿宋_GB2312" w:hAnsi="仿宋_GB2312" w:cs="仿宋_GB2312" w:eastAsia="仿宋_GB2312"/>
              </w:rPr>
              <w:t>说明：合同签订后，成交人向采购人提供成交金额的1.5%作为履约保证金，对符合规定的中小企业减半收取履约保证金。本项目履约保证金以支票、汇票、本票或者金融机构、担保机构出具的保函等非现金形式交纳保证金，采购人允许供应商自行选择提交方式。待本合同履行完毕，经采购人验收确认无质量问题，服务期内成交人无违约情形并且无合同纠纷后七个工作日内，采购人一次性无息退清履约保证金。</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color w:val="000000"/>
        </w:rPr>
        <w:t>11</w:t>
      </w:r>
      <w:r>
        <w:rPr>
          <w:rFonts w:ascii="仿宋_GB2312" w:hAnsi="仿宋_GB2312" w:cs="仿宋_GB2312" w:eastAsia="仿宋_GB2312"/>
          <w:sz w:val="24"/>
          <w:b/>
          <w:color w:val="000000"/>
        </w:rPr>
        <w:t>、商务响应要求</w:t>
      </w:r>
    </w:p>
    <w:p>
      <w:pPr>
        <w:pStyle w:val="null3"/>
        <w:ind w:firstLine="482"/>
      </w:pPr>
      <w:r>
        <w:rPr>
          <w:rFonts w:ascii="仿宋_GB2312" w:hAnsi="仿宋_GB2312" w:cs="仿宋_GB2312" w:eastAsia="仿宋_GB2312"/>
          <w:sz w:val="24"/>
          <w:color w:val="000000"/>
        </w:rPr>
        <w:t>11.1</w:t>
      </w:r>
      <w:r>
        <w:rPr>
          <w:rFonts w:ascii="仿宋_GB2312" w:hAnsi="仿宋_GB2312" w:cs="仿宋_GB2312" w:eastAsia="仿宋_GB2312"/>
          <w:sz w:val="24"/>
          <w:color w:val="000000"/>
        </w:rPr>
        <w:t>供应商通过质量管理体系认证证书、环境管理体系认证证书、职业健康安全管理体系认证的，可提供有效证书扫描件。</w:t>
      </w:r>
    </w:p>
    <w:p>
      <w:pPr>
        <w:pStyle w:val="null3"/>
        <w:ind w:firstLine="482"/>
      </w:pPr>
      <w:r>
        <w:rPr>
          <w:rFonts w:ascii="仿宋_GB2312" w:hAnsi="仿宋_GB2312" w:cs="仿宋_GB2312" w:eastAsia="仿宋_GB2312"/>
          <w:sz w:val="24"/>
          <w:color w:val="000000"/>
        </w:rPr>
        <w:t xml:space="preserve">11.2 </w:t>
      </w:r>
      <w:r>
        <w:rPr>
          <w:rFonts w:ascii="仿宋_GB2312" w:hAnsi="仿宋_GB2312" w:cs="仿宋_GB2312" w:eastAsia="仿宋_GB2312"/>
          <w:sz w:val="24"/>
          <w:color w:val="000000"/>
        </w:rPr>
        <w:t>供应商承诺在合同履行期间对所知悉的有关重要情况做好保密工作，并且不损害采购人的公众形象，可提供书面承诺。</w:t>
      </w:r>
    </w:p>
    <w:p>
      <w:pPr>
        <w:pStyle w:val="null3"/>
        <w:ind w:firstLine="482"/>
      </w:pPr>
      <w:r>
        <w:rPr>
          <w:rFonts w:ascii="仿宋_GB2312" w:hAnsi="仿宋_GB2312" w:cs="仿宋_GB2312" w:eastAsia="仿宋_GB2312"/>
          <w:sz w:val="24"/>
          <w:color w:val="000000"/>
        </w:rPr>
        <w:t>11.3</w:t>
      </w:r>
      <w:r>
        <w:rPr>
          <w:rFonts w:ascii="仿宋_GB2312" w:hAnsi="仿宋_GB2312" w:cs="仿宋_GB2312" w:eastAsia="仿宋_GB2312"/>
          <w:sz w:val="24"/>
          <w:color w:val="000000"/>
        </w:rPr>
        <w:t>供应商应提供有助于规范企业管理的企业管理制度，包括规章管理制度、财务管理制度等。</w:t>
      </w:r>
    </w:p>
    <w:p>
      <w:pPr>
        <w:pStyle w:val="null3"/>
        <w:ind w:firstLine="482"/>
      </w:pPr>
      <w:r>
        <w:rPr>
          <w:rFonts w:ascii="仿宋_GB2312" w:hAnsi="仿宋_GB2312" w:cs="仿宋_GB2312" w:eastAsia="仿宋_GB2312"/>
          <w:sz w:val="24"/>
          <w:color w:val="000000"/>
        </w:rPr>
        <w:t>11.4</w:t>
      </w:r>
      <w:r>
        <w:rPr>
          <w:rFonts w:ascii="仿宋_GB2312" w:hAnsi="仿宋_GB2312" w:cs="仿宋_GB2312" w:eastAsia="仿宋_GB2312"/>
          <w:sz w:val="24"/>
          <w:color w:val="000000"/>
        </w:rPr>
        <w:t>供应商应根据项目情况，提供方案具体详细的服务人员培训方案。</w:t>
      </w:r>
    </w:p>
    <w:p>
      <w:pPr>
        <w:pStyle w:val="null3"/>
        <w:ind w:firstLine="482"/>
      </w:pPr>
      <w:r>
        <w:rPr>
          <w:rFonts w:ascii="仿宋_GB2312" w:hAnsi="仿宋_GB2312" w:cs="仿宋_GB2312" w:eastAsia="仿宋_GB2312"/>
          <w:sz w:val="24"/>
          <w:color w:val="000000"/>
        </w:rPr>
        <w:t xml:space="preserve">11.5 </w:t>
      </w:r>
      <w:r>
        <w:rPr>
          <w:rFonts w:ascii="仿宋_GB2312" w:hAnsi="仿宋_GB2312" w:cs="仿宋_GB2312" w:eastAsia="仿宋_GB2312"/>
          <w:sz w:val="24"/>
          <w:color w:val="000000"/>
        </w:rPr>
        <w:t>供应商应承诺为拟投入本项目的所有员工服务期间购买工伤保险或雇主责任险，提供书面承诺函（承诺函格式自拟）。</w:t>
      </w:r>
    </w:p>
    <w:p>
      <w:pPr>
        <w:pStyle w:val="null3"/>
        <w:ind w:firstLine="482"/>
      </w:pPr>
      <w:r>
        <w:rPr>
          <w:rFonts w:ascii="仿宋_GB2312" w:hAnsi="仿宋_GB2312" w:cs="仿宋_GB2312" w:eastAsia="仿宋_GB2312"/>
          <w:sz w:val="24"/>
          <w:color w:val="000000"/>
        </w:rPr>
        <w:t>11.6</w:t>
      </w:r>
      <w:r>
        <w:rPr>
          <w:rFonts w:ascii="仿宋_GB2312" w:hAnsi="仿宋_GB2312" w:cs="仿宋_GB2312" w:eastAsia="仿宋_GB2312"/>
          <w:sz w:val="24"/>
          <w:color w:val="000000"/>
        </w:rPr>
        <w:t>供应商应承诺配备的全部服务人员于合同签订后7个日历日内配备到位并完成交接工作，且通过采购人认可，提供书面承诺函（承诺函格式自拟）。</w:t>
      </w:r>
    </w:p>
    <w:p>
      <w:pPr>
        <w:pStyle w:val="null3"/>
        <w:ind w:firstLine="482"/>
      </w:pPr>
      <w:r>
        <w:rPr>
          <w:rFonts w:ascii="仿宋_GB2312" w:hAnsi="仿宋_GB2312" w:cs="仿宋_GB2312" w:eastAsia="仿宋_GB2312"/>
          <w:sz w:val="24"/>
          <w:color w:val="000000"/>
        </w:rPr>
        <w:t>11.7</w:t>
      </w:r>
      <w:r>
        <w:rPr>
          <w:rFonts w:ascii="仿宋_GB2312" w:hAnsi="仿宋_GB2312" w:cs="仿宋_GB2312" w:eastAsia="仿宋_GB2312"/>
          <w:sz w:val="24"/>
          <w:color w:val="000000"/>
        </w:rPr>
        <w:t>供应商应为本项目提供本地化服务，供应商可提供合作单位协议或者自身机构的营业执照证明，也可以提供在本地设立的项目部、办公室、办事处等机构证明，或者承诺成交后20个工作日内提供本地化服务保障并提供具体措施。</w:t>
      </w:r>
    </w:p>
    <w:p>
      <w:pPr>
        <w:pStyle w:val="null3"/>
        <w:ind w:firstLine="482"/>
      </w:pPr>
      <w:r>
        <w:rPr>
          <w:rFonts w:ascii="仿宋_GB2312" w:hAnsi="仿宋_GB2312" w:cs="仿宋_GB2312" w:eastAsia="仿宋_GB2312"/>
          <w:sz w:val="24"/>
          <w:color w:val="000000"/>
        </w:rPr>
        <w:t>11.8</w:t>
      </w:r>
      <w:r>
        <w:rPr>
          <w:rFonts w:ascii="仿宋_GB2312" w:hAnsi="仿宋_GB2312" w:cs="仿宋_GB2312" w:eastAsia="仿宋_GB2312"/>
          <w:sz w:val="24"/>
          <w:color w:val="000000"/>
        </w:rPr>
        <w:t>供应商2022年至今获得政府相关部门颁发的与物业管理相关的荣誉或证书的，可提供相关荣誉的文件或证书的扫描件。</w:t>
      </w:r>
    </w:p>
    <w:p>
      <w:pPr>
        <w:pStyle w:val="null3"/>
        <w:ind w:firstLine="482"/>
      </w:pPr>
      <w:r>
        <w:rPr>
          <w:rFonts w:ascii="仿宋_GB2312" w:hAnsi="仿宋_GB2312" w:cs="仿宋_GB2312" w:eastAsia="仿宋_GB2312"/>
          <w:sz w:val="24"/>
          <w:color w:val="000000"/>
        </w:rPr>
        <w:t>11.9</w:t>
      </w:r>
      <w:r>
        <w:rPr>
          <w:rFonts w:ascii="仿宋_GB2312" w:hAnsi="仿宋_GB2312" w:cs="仿宋_GB2312" w:eastAsia="仿宋_GB2312"/>
          <w:sz w:val="24"/>
          <w:color w:val="000000"/>
        </w:rPr>
        <w:t>供应商自2022年（以合同签订时间为准）以来承接类似项目（类似业绩指：包括但不限于保洁、绿化、维序）的有效经营业绩的，可提供有效证明文件包括：①中标（成交）公告[提供相关网站中标（成交）公告的下载网页及其网址]；②中标（成交）通知书复印件；③采购合同文本复印件；④能够证明该业绩项目已经业主验收（考核）合格的相关证明文件复印件。原件备查。</w:t>
      </w:r>
    </w:p>
    <w:p>
      <w:pPr>
        <w:pStyle w:val="null3"/>
        <w:ind w:firstLine="420"/>
      </w:pPr>
      <w:r>
        <w:rPr>
          <w:rFonts w:ascii="仿宋_GB2312" w:hAnsi="仿宋_GB2312" w:cs="仿宋_GB2312" w:eastAsia="仿宋_GB2312"/>
          <w:sz w:val="24"/>
          <w:color w:val="000000"/>
        </w:rPr>
        <w:t>11.10</w:t>
      </w:r>
      <w:r>
        <w:rPr>
          <w:rFonts w:ascii="仿宋_GB2312" w:hAnsi="仿宋_GB2312" w:cs="仿宋_GB2312" w:eastAsia="仿宋_GB2312"/>
          <w:sz w:val="24"/>
          <w:color w:val="000000"/>
        </w:rPr>
        <w:t>供应商2022年（以合同签订时间为准）以来完成类似项目（类似业绩指包括但不限于保洁、绿化、维序）的满意度评价的，可提供①书面满意度评价材料复印件[盖有业主单位公章而非部门章或专用章]；②合同文本复印件。原价备查。</w:t>
      </w:r>
    </w:p>
    <w:p>
      <w:pPr>
        <w:pStyle w:val="null3"/>
        <w:ind w:firstLine="480"/>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、报价要求</w:t>
      </w:r>
    </w:p>
    <w:p>
      <w:pPr>
        <w:pStyle w:val="null3"/>
        <w:ind w:firstLine="480"/>
        <w:jc w:val="both"/>
      </w:pPr>
      <w:r>
        <w:rPr>
          <w:rFonts w:ascii="仿宋_GB2312" w:hAnsi="仿宋_GB2312" w:cs="仿宋_GB2312" w:eastAsia="仿宋_GB2312"/>
          <w:sz w:val="24"/>
          <w:color w:val="000000"/>
        </w:rPr>
        <w:t xml:space="preserve">12.1 </w:t>
      </w:r>
      <w:r>
        <w:rPr>
          <w:rFonts w:ascii="仿宋_GB2312" w:hAnsi="仿宋_GB2312" w:cs="仿宋_GB2312" w:eastAsia="仿宋_GB2312"/>
          <w:sz w:val="24"/>
          <w:color w:val="000000"/>
        </w:rPr>
        <w:t>总报价为完成本项目所有可能发生的一切费用，包括但不限于员工工资及费用、办公费用、交通费、劳动保护费、绿化养护费、清洁费用、其他物料消耗费、保险费、垃圾清运费用，卫生间的消毒、除臭药品、服装费、工具设备费、税费、管理费及不可预见费等所有费用。</w:t>
      </w:r>
    </w:p>
    <w:p>
      <w:pPr>
        <w:pStyle w:val="null3"/>
        <w:ind w:firstLine="480"/>
        <w:jc w:val="both"/>
      </w:pPr>
      <w:r>
        <w:rPr>
          <w:rFonts w:ascii="仿宋_GB2312" w:hAnsi="仿宋_GB2312" w:cs="仿宋_GB2312" w:eastAsia="仿宋_GB2312"/>
          <w:sz w:val="24"/>
          <w:color w:val="000000"/>
        </w:rPr>
        <w:t xml:space="preserve">12.2 </w:t>
      </w:r>
      <w:r>
        <w:rPr>
          <w:rFonts w:ascii="仿宋_GB2312" w:hAnsi="仿宋_GB2312" w:cs="仿宋_GB2312" w:eastAsia="仿宋_GB2312"/>
          <w:sz w:val="24"/>
          <w:color w:val="000000"/>
        </w:rPr>
        <w:t>报价以人民币为单位。</w:t>
      </w:r>
    </w:p>
    <w:p>
      <w:pPr>
        <w:pStyle w:val="null3"/>
        <w:ind w:firstLine="480"/>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 xml:space="preserve">.3 </w:t>
      </w:r>
      <w:r>
        <w:rPr>
          <w:rFonts w:ascii="仿宋_GB2312" w:hAnsi="仿宋_GB2312" w:cs="仿宋_GB2312" w:eastAsia="仿宋_GB2312"/>
          <w:sz w:val="24"/>
          <w:color w:val="000000"/>
        </w:rPr>
        <w:t>响应文件中标明的价格在合同执行过程中是固定不变的，不得以任何理由予以变更。以可变动价格提交的报价将被认为是非实质响应而被拒绝。</w:t>
      </w:r>
    </w:p>
    <w:p>
      <w:pPr>
        <w:pStyle w:val="null3"/>
        <w:ind w:firstLine="480"/>
        <w:jc w:val="both"/>
      </w:pPr>
      <w:r>
        <w:rPr>
          <w:rFonts w:ascii="仿宋_GB2312" w:hAnsi="仿宋_GB2312" w:cs="仿宋_GB2312" w:eastAsia="仿宋_GB2312"/>
          <w:sz w:val="24"/>
          <w:color w:val="000000"/>
        </w:rPr>
        <w:t xml:space="preserve">12.4 </w:t>
      </w:r>
      <w:r>
        <w:rPr>
          <w:rFonts w:ascii="仿宋_GB2312" w:hAnsi="仿宋_GB2312" w:cs="仿宋_GB2312" w:eastAsia="仿宋_GB2312"/>
          <w:sz w:val="24"/>
          <w:color w:val="000000"/>
        </w:rPr>
        <w:t>供应商对本项目只能有一个报价，采购单位不接受有选择的报价。</w:t>
      </w:r>
    </w:p>
    <w:p>
      <w:pPr>
        <w:pStyle w:val="null3"/>
        <w:ind w:firstLine="480"/>
        <w:jc w:val="both"/>
      </w:pPr>
      <w:r>
        <w:rPr>
          <w:rFonts w:ascii="仿宋_GB2312" w:hAnsi="仿宋_GB2312" w:cs="仿宋_GB2312" w:eastAsia="仿宋_GB2312"/>
          <w:sz w:val="24"/>
          <w:color w:val="000000"/>
        </w:rPr>
        <w:t xml:space="preserve">12.5 </w:t>
      </w:r>
      <w:r>
        <w:rPr>
          <w:rFonts w:ascii="仿宋_GB2312" w:hAnsi="仿宋_GB2312" w:cs="仿宋_GB2312" w:eastAsia="仿宋_GB2312"/>
          <w:sz w:val="24"/>
          <w:color w:val="000000"/>
        </w:rPr>
        <w:t>供应商漏报的单价或每单价报价中漏报、少报的费用，视为此项费用已隐含在报价中，成交后不得再向采购人收取任何费用。</w:t>
      </w:r>
    </w:p>
    <w:p>
      <w:pPr>
        <w:pStyle w:val="null3"/>
        <w:ind w:firstLine="480"/>
        <w:jc w:val="both"/>
      </w:pPr>
      <w:r>
        <w:rPr>
          <w:rFonts w:ascii="仿宋_GB2312" w:hAnsi="仿宋_GB2312" w:cs="仿宋_GB2312" w:eastAsia="仿宋_GB2312"/>
          <w:sz w:val="24"/>
          <w:color w:val="000000"/>
        </w:rPr>
        <w:t xml:space="preserve">12.6 </w:t>
      </w:r>
      <w:r>
        <w:rPr>
          <w:rFonts w:ascii="仿宋_GB2312" w:hAnsi="仿宋_GB2312" w:cs="仿宋_GB2312" w:eastAsia="仿宋_GB2312"/>
          <w:sz w:val="24"/>
          <w:color w:val="000000"/>
        </w:rPr>
        <w:t>本采购项目的采购预算为120万元，采购预算为供应商任一轮报价（包括但不限于响应文件中的报价以及供应商提交的最后报价）的最高限价，供应商任一轮报价超过采购预算的，按无效响应处理。</w:t>
      </w:r>
    </w:p>
    <w:p>
      <w:pPr>
        <w:pStyle w:val="null3"/>
        <w:ind w:firstLine="480"/>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、风险承担与责任认定机制</w:t>
      </w:r>
    </w:p>
    <w:p>
      <w:pPr>
        <w:pStyle w:val="null3"/>
        <w:ind w:firstLine="480"/>
        <w:jc w:val="both"/>
      </w:pPr>
      <w:r>
        <w:rPr>
          <w:rFonts w:ascii="仿宋_GB2312" w:hAnsi="仿宋_GB2312" w:cs="仿宋_GB2312" w:eastAsia="仿宋_GB2312"/>
          <w:sz w:val="24"/>
          <w:color w:val="000000"/>
        </w:rPr>
        <w:t>13.1</w:t>
      </w:r>
      <w:r>
        <w:rPr>
          <w:rFonts w:ascii="仿宋_GB2312" w:hAnsi="仿宋_GB2312" w:cs="仿宋_GB2312" w:eastAsia="仿宋_GB2312"/>
          <w:sz w:val="24"/>
          <w:color w:val="000000"/>
        </w:rPr>
        <w:t>所有聘用人员的工伤风险及相关费用，由成交供应商自行承担。</w:t>
      </w:r>
    </w:p>
    <w:p>
      <w:pPr>
        <w:pStyle w:val="null3"/>
        <w:ind w:firstLine="480"/>
        <w:jc w:val="both"/>
      </w:pPr>
      <w:r>
        <w:rPr>
          <w:rFonts w:ascii="仿宋_GB2312" w:hAnsi="仿宋_GB2312" w:cs="仿宋_GB2312" w:eastAsia="仿宋_GB2312"/>
          <w:sz w:val="24"/>
          <w:color w:val="000000"/>
        </w:rPr>
        <w:t>13.2</w:t>
      </w:r>
      <w:r>
        <w:rPr>
          <w:rFonts w:ascii="仿宋_GB2312" w:hAnsi="仿宋_GB2312" w:cs="仿宋_GB2312" w:eastAsia="仿宋_GB2312"/>
          <w:sz w:val="24"/>
          <w:color w:val="000000"/>
        </w:rPr>
        <w:t>因意外事故或作业安全问题引发的人身伤亡和财产损失，成交供应商依法承担赔偿责任。</w:t>
      </w:r>
    </w:p>
    <w:p>
      <w:pPr>
        <w:pStyle w:val="null3"/>
        <w:ind w:firstLine="480"/>
        <w:jc w:val="both"/>
      </w:pPr>
      <w:r>
        <w:rPr>
          <w:rFonts w:ascii="仿宋_GB2312" w:hAnsi="仿宋_GB2312" w:cs="仿宋_GB2312" w:eastAsia="仿宋_GB2312"/>
          <w:sz w:val="24"/>
          <w:color w:val="000000"/>
        </w:rPr>
        <w:t>13.3</w:t>
      </w:r>
      <w:r>
        <w:rPr>
          <w:rFonts w:ascii="仿宋_GB2312" w:hAnsi="仿宋_GB2312" w:cs="仿宋_GB2312" w:eastAsia="仿宋_GB2312"/>
          <w:sz w:val="24"/>
          <w:color w:val="000000"/>
        </w:rPr>
        <w:t>知识产权要求：成交供应商提供的一切服务成果应保证采购人在使用过程的任何时候不受到知识产权或版权的纠纷。成交供应商应保证采购人在使用该资料或其任何一部分时免受第三方提出侵犯其专利权、商标权等的起诉。否则，由此产生的责任，完全由成交供应商承担。</w:t>
      </w:r>
    </w:p>
    <w:p>
      <w:pPr>
        <w:pStyle w:val="null3"/>
      </w:pPr>
      <w:r>
        <w:rPr>
          <w:rFonts w:ascii="仿宋_GB2312" w:hAnsi="仿宋_GB2312" w:cs="仿宋_GB2312" w:eastAsia="仿宋_GB2312"/>
          <w:sz w:val="21"/>
          <w:b/>
          <w:color w:val="000000"/>
        </w:rPr>
        <w:t>14</w:t>
      </w:r>
      <w:r>
        <w:rPr>
          <w:rFonts w:ascii="仿宋_GB2312" w:hAnsi="仿宋_GB2312" w:cs="仿宋_GB2312" w:eastAsia="仿宋_GB2312"/>
          <w:sz w:val="21"/>
          <w:b/>
          <w:color w:val="000000"/>
        </w:rPr>
        <w:t>、违约责任</w:t>
      </w:r>
    </w:p>
    <w:p>
      <w:pPr>
        <w:pStyle w:val="null3"/>
        <w:ind w:firstLine="420"/>
      </w:pPr>
      <w:r>
        <w:rPr>
          <w:rFonts w:ascii="仿宋_GB2312" w:hAnsi="仿宋_GB2312" w:cs="仿宋_GB2312" w:eastAsia="仿宋_GB2312"/>
          <w:sz w:val="21"/>
          <w:color w:val="000000"/>
        </w:rPr>
        <w:t>14.1</w:t>
      </w:r>
      <w:r>
        <w:rPr>
          <w:rFonts w:ascii="仿宋_GB2312" w:hAnsi="仿宋_GB2312" w:cs="仿宋_GB2312" w:eastAsia="仿宋_GB2312"/>
          <w:sz w:val="21"/>
          <w:color w:val="000000"/>
        </w:rPr>
        <w:t>因成交供应商原因造成采购合同无法按时签订，视为成交供应商违约，成交供应商违约对采购人造成的损失的，需另行支付相应的赔偿。</w:t>
      </w:r>
    </w:p>
    <w:p>
      <w:pPr>
        <w:pStyle w:val="null3"/>
        <w:ind w:firstLine="420"/>
      </w:pPr>
      <w:r>
        <w:rPr>
          <w:rFonts w:ascii="仿宋_GB2312" w:hAnsi="仿宋_GB2312" w:cs="仿宋_GB2312" w:eastAsia="仿宋_GB2312"/>
          <w:sz w:val="21"/>
          <w:color w:val="000000"/>
        </w:rPr>
        <w:t>14.2</w:t>
      </w:r>
      <w:r>
        <w:rPr>
          <w:rFonts w:ascii="仿宋_GB2312" w:hAnsi="仿宋_GB2312" w:cs="仿宋_GB2312" w:eastAsia="仿宋_GB2312"/>
          <w:sz w:val="21"/>
          <w:color w:val="000000"/>
        </w:rPr>
        <w:t>在签订采购合同之后，成交供应商要求解除合同的，视为成交供应商违约，对采购人造成的损失的，成交供应商需支付相应的赔偿。</w:t>
      </w:r>
    </w:p>
    <w:p>
      <w:pPr>
        <w:pStyle w:val="null3"/>
        <w:ind w:firstLine="420"/>
      </w:pPr>
      <w:r>
        <w:rPr>
          <w:rFonts w:ascii="仿宋_GB2312" w:hAnsi="仿宋_GB2312" w:cs="仿宋_GB2312" w:eastAsia="仿宋_GB2312"/>
          <w:sz w:val="21"/>
          <w:color w:val="000000"/>
        </w:rPr>
        <w:t>14.3</w:t>
      </w:r>
      <w:r>
        <w:rPr>
          <w:rFonts w:ascii="仿宋_GB2312" w:hAnsi="仿宋_GB2312" w:cs="仿宋_GB2312" w:eastAsia="仿宋_GB2312"/>
          <w:sz w:val="21"/>
          <w:color w:val="000000"/>
        </w:rPr>
        <w:t>因成交供应商原因发生重大质量事故，除依约承担赔偿责任外，还将按有关质量管理办法规定执行。同时，采购人有权保留更换成交供应商的权利，并报相关行政主管部门处罚。</w:t>
      </w:r>
    </w:p>
    <w:p>
      <w:pPr>
        <w:pStyle w:val="null3"/>
        <w:ind w:firstLine="420"/>
      </w:pPr>
      <w:r>
        <w:rPr>
          <w:rFonts w:ascii="仿宋_GB2312" w:hAnsi="仿宋_GB2312" w:cs="仿宋_GB2312" w:eastAsia="仿宋_GB2312"/>
          <w:sz w:val="21"/>
          <w:color w:val="000000"/>
        </w:rPr>
        <w:t>14.4</w:t>
      </w:r>
      <w:r>
        <w:rPr>
          <w:rFonts w:ascii="仿宋_GB2312" w:hAnsi="仿宋_GB2312" w:cs="仿宋_GB2312" w:eastAsia="仿宋_GB2312"/>
          <w:sz w:val="21"/>
          <w:color w:val="000000"/>
        </w:rPr>
        <w:t>在明确违约责任后，成交供应商应在接到书面通知书起七天内支付违约金、赔偿金等。</w:t>
      </w:r>
    </w:p>
    <w:p>
      <w:pPr>
        <w:pStyle w:val="null3"/>
        <w:ind w:firstLine="480"/>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、本项目专门面向中小企业预留采购份额，供应商根据此清单列明的“采购标的名称”和“采购标的所属行业”，按竞争性磋商文件第五章要求的格式出具《中小企业声明函》（工程、服务）</w:t>
      </w:r>
    </w:p>
    <w:tbl>
      <w:tblPr>
        <w:tblW w:w="0" w:type="auto"/>
        <w:tblBorders>
          <w:top w:val="single"/>
          <w:left w:val="single"/>
          <w:bottom w:val="single"/>
          <w:right w:val="single"/>
          <w:insideH w:val="single"/>
          <w:insideV w:val="single"/>
        </w:tblBorders>
      </w:tblPr>
      <w:tblGrid>
        <w:gridCol w:w="1139"/>
        <w:gridCol w:w="3448"/>
        <w:gridCol w:w="3718"/>
      </w:tblGrid>
      <w:tr>
        <w:tc>
          <w:tcPr>
            <w:tcW w:type="dxa" w:w="1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采购标的名称</w:t>
            </w:r>
          </w:p>
        </w:tc>
        <w:tc>
          <w:tcPr>
            <w:tcW w:type="dxa" w:w="37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采购标的所属行业</w:t>
            </w:r>
          </w:p>
        </w:tc>
      </w:tr>
      <w:tr>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厦门市集美区纪检监察事务中心办公楼物业管理服务</w:t>
            </w:r>
          </w:p>
        </w:tc>
        <w:tc>
          <w:tcPr>
            <w:tcW w:type="dxa" w:w="3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物业管理</w:t>
            </w:r>
          </w:p>
        </w:tc>
      </w:tr>
      <w:tr>
        <w:tc>
          <w:tcPr>
            <w:tcW w:type="dxa" w:w="830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本采购项目属性为服务类</w:t>
            </w:r>
          </w:p>
        </w:tc>
      </w:tr>
    </w:tbl>
    <w:p>
      <w:pPr>
        <w:pStyle w:val="null3"/>
        <w:ind w:firstLine="480"/>
        <w:jc w:val="both"/>
      </w:pPr>
      <w:r>
        <w:rPr>
          <w:rFonts w:ascii="仿宋_GB2312" w:hAnsi="仿宋_GB2312" w:cs="仿宋_GB2312" w:eastAsia="仿宋_GB2312"/>
          <w:sz w:val="24"/>
          <w:color w:val="000000"/>
        </w:rPr>
        <w:t>说明：</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）在服务采购项目中，服务的承接商应当为中小企业，不对其中涉及的货物的制造商作出要求。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）供应商应当对其出具的《中小企业声明函》真实性负责，供应商出具的《中小企业声明函》内容不实的，属于提供虚假材料谋取成交。</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）本项目采购标的对应的中小企业划分标准所属行业为：物业管理。中小企业的认定标准为：</w:t>
      </w:r>
      <w:r>
        <w:rPr>
          <w:rFonts w:ascii="仿宋_GB2312" w:hAnsi="仿宋_GB2312" w:cs="仿宋_GB2312" w:eastAsia="仿宋_GB2312"/>
          <w:sz w:val="24"/>
          <w:color w:val="000000"/>
        </w:rPr>
        <w:t>从业</w:t>
      </w:r>
      <w:r>
        <w:rPr>
          <w:rFonts w:ascii="仿宋_GB2312" w:hAnsi="仿宋_GB2312" w:cs="仿宋_GB2312" w:eastAsia="仿宋_GB2312"/>
          <w:sz w:val="24"/>
          <w:color w:val="000000"/>
        </w:rPr>
        <w:t>人</w:t>
      </w:r>
      <w:r>
        <w:rPr>
          <w:rFonts w:ascii="仿宋_GB2312" w:hAnsi="仿宋_GB2312" w:cs="仿宋_GB2312" w:eastAsia="仿宋_GB2312"/>
          <w:sz w:val="24"/>
          <w:color w:val="000000"/>
        </w:rPr>
        <w:t>员1000人以下或营业</w:t>
      </w:r>
      <w:r>
        <w:rPr>
          <w:rFonts w:ascii="仿宋_GB2312" w:hAnsi="仿宋_GB2312" w:cs="仿宋_GB2312" w:eastAsia="仿宋_GB2312"/>
          <w:sz w:val="24"/>
          <w:color w:val="000000"/>
        </w:rPr>
        <w:t>收入</w:t>
      </w:r>
      <w:r>
        <w:rPr>
          <w:rFonts w:ascii="仿宋_GB2312" w:hAnsi="仿宋_GB2312" w:cs="仿宋_GB2312" w:eastAsia="仿宋_GB2312"/>
          <w:sz w:val="24"/>
          <w:color w:val="000000"/>
        </w:rPr>
        <w:t>5000</w:t>
      </w:r>
      <w:r>
        <w:rPr>
          <w:rFonts w:ascii="仿宋_GB2312" w:hAnsi="仿宋_GB2312" w:cs="仿宋_GB2312" w:eastAsia="仿宋_GB2312"/>
          <w:sz w:val="24"/>
          <w:color w:val="000000"/>
        </w:rPr>
        <w:t>万元以下的为</w:t>
      </w:r>
      <w:r>
        <w:rPr>
          <w:rFonts w:ascii="仿宋_GB2312" w:hAnsi="仿宋_GB2312" w:cs="仿宋_GB2312" w:eastAsia="仿宋_GB2312"/>
          <w:sz w:val="24"/>
          <w:color w:val="000000"/>
        </w:rPr>
        <w:t>中小微型企</w:t>
      </w:r>
      <w:r>
        <w:rPr>
          <w:rFonts w:ascii="仿宋_GB2312" w:hAnsi="仿宋_GB2312" w:cs="仿宋_GB2312" w:eastAsia="仿宋_GB2312"/>
          <w:sz w:val="24"/>
          <w:color w:val="000000"/>
        </w:rPr>
        <w:t>业</w:t>
      </w:r>
      <w:r>
        <w:rPr>
          <w:rFonts w:ascii="仿宋_GB2312" w:hAnsi="仿宋_GB2312" w:cs="仿宋_GB2312" w:eastAsia="仿宋_GB2312"/>
          <w:sz w:val="24"/>
          <w:color w:val="000000"/>
        </w:rPr>
        <w:t>。其中</w:t>
      </w:r>
      <w:r>
        <w:rPr>
          <w:rFonts w:ascii="仿宋_GB2312" w:hAnsi="仿宋_GB2312" w:cs="仿宋_GB2312" w:eastAsia="仿宋_GB2312"/>
          <w:sz w:val="24"/>
          <w:color w:val="000000"/>
        </w:rPr>
        <w:t>，从业</w:t>
      </w:r>
      <w:r>
        <w:rPr>
          <w:rFonts w:ascii="仿宋_GB2312" w:hAnsi="仿宋_GB2312" w:cs="仿宋_GB2312" w:eastAsia="仿宋_GB2312"/>
          <w:sz w:val="24"/>
          <w:color w:val="000000"/>
        </w:rPr>
        <w:t>人</w:t>
      </w:r>
      <w:r>
        <w:rPr>
          <w:rFonts w:ascii="仿宋_GB2312" w:hAnsi="仿宋_GB2312" w:cs="仿宋_GB2312" w:eastAsia="仿宋_GB2312"/>
          <w:sz w:val="24"/>
          <w:color w:val="000000"/>
        </w:rPr>
        <w:t>员300人及以上，且营业</w:t>
      </w:r>
      <w:r>
        <w:rPr>
          <w:rFonts w:ascii="仿宋_GB2312" w:hAnsi="仿宋_GB2312" w:cs="仿宋_GB2312" w:eastAsia="仿宋_GB2312"/>
          <w:sz w:val="24"/>
          <w:color w:val="000000"/>
        </w:rPr>
        <w:t>收入</w:t>
      </w:r>
      <w:r>
        <w:rPr>
          <w:rFonts w:ascii="仿宋_GB2312" w:hAnsi="仿宋_GB2312" w:cs="仿宋_GB2312" w:eastAsia="仿宋_GB2312"/>
          <w:sz w:val="24"/>
          <w:color w:val="000000"/>
        </w:rPr>
        <w:t>1000</w:t>
      </w:r>
      <w:r>
        <w:rPr>
          <w:rFonts w:ascii="仿宋_GB2312" w:hAnsi="仿宋_GB2312" w:cs="仿宋_GB2312" w:eastAsia="仿宋_GB2312"/>
          <w:sz w:val="24"/>
          <w:color w:val="000000"/>
        </w:rPr>
        <w:t>万元及以上的为</w:t>
      </w:r>
      <w:r>
        <w:rPr>
          <w:rFonts w:ascii="仿宋_GB2312" w:hAnsi="仿宋_GB2312" w:cs="仿宋_GB2312" w:eastAsia="仿宋_GB2312"/>
          <w:sz w:val="24"/>
          <w:color w:val="000000"/>
        </w:rPr>
        <w:t>中型企</w:t>
      </w:r>
      <w:r>
        <w:rPr>
          <w:rFonts w:ascii="仿宋_GB2312" w:hAnsi="仿宋_GB2312" w:cs="仿宋_GB2312" w:eastAsia="仿宋_GB2312"/>
          <w:sz w:val="24"/>
          <w:color w:val="000000"/>
        </w:rPr>
        <w:t>业</w:t>
      </w:r>
      <w:r>
        <w:rPr>
          <w:rFonts w:ascii="仿宋_GB2312" w:hAnsi="仿宋_GB2312" w:cs="仿宋_GB2312" w:eastAsia="仿宋_GB2312"/>
          <w:sz w:val="24"/>
          <w:color w:val="000000"/>
        </w:rPr>
        <w:t>；从</w:t>
      </w:r>
      <w:r>
        <w:rPr>
          <w:rFonts w:ascii="仿宋_GB2312" w:hAnsi="仿宋_GB2312" w:cs="仿宋_GB2312" w:eastAsia="仿宋_GB2312"/>
          <w:sz w:val="24"/>
          <w:color w:val="000000"/>
        </w:rPr>
        <w:t>业</w:t>
      </w:r>
      <w:r>
        <w:rPr>
          <w:rFonts w:ascii="仿宋_GB2312" w:hAnsi="仿宋_GB2312" w:cs="仿宋_GB2312" w:eastAsia="仿宋_GB2312"/>
          <w:sz w:val="24"/>
          <w:color w:val="000000"/>
        </w:rPr>
        <w:t>人</w:t>
      </w:r>
      <w:r>
        <w:rPr>
          <w:rFonts w:ascii="仿宋_GB2312" w:hAnsi="仿宋_GB2312" w:cs="仿宋_GB2312" w:eastAsia="仿宋_GB2312"/>
          <w:sz w:val="24"/>
          <w:color w:val="000000"/>
        </w:rPr>
        <w:t>员100人及以上，且营业</w:t>
      </w:r>
      <w:r>
        <w:rPr>
          <w:rFonts w:ascii="仿宋_GB2312" w:hAnsi="仿宋_GB2312" w:cs="仿宋_GB2312" w:eastAsia="仿宋_GB2312"/>
          <w:sz w:val="24"/>
          <w:color w:val="000000"/>
        </w:rPr>
        <w:t>收入</w:t>
      </w:r>
      <w:r>
        <w:rPr>
          <w:rFonts w:ascii="仿宋_GB2312" w:hAnsi="仿宋_GB2312" w:cs="仿宋_GB2312" w:eastAsia="仿宋_GB2312"/>
          <w:sz w:val="24"/>
          <w:color w:val="000000"/>
        </w:rPr>
        <w:t>500</w:t>
      </w:r>
      <w:r>
        <w:rPr>
          <w:rFonts w:ascii="仿宋_GB2312" w:hAnsi="仿宋_GB2312" w:cs="仿宋_GB2312" w:eastAsia="仿宋_GB2312"/>
          <w:sz w:val="24"/>
          <w:color w:val="000000"/>
        </w:rPr>
        <w:t>万元及以上的为</w:t>
      </w:r>
      <w:r>
        <w:rPr>
          <w:rFonts w:ascii="仿宋_GB2312" w:hAnsi="仿宋_GB2312" w:cs="仿宋_GB2312" w:eastAsia="仿宋_GB2312"/>
          <w:sz w:val="24"/>
          <w:color w:val="000000"/>
        </w:rPr>
        <w:t>小型企</w:t>
      </w:r>
      <w:r>
        <w:rPr>
          <w:rFonts w:ascii="仿宋_GB2312" w:hAnsi="仿宋_GB2312" w:cs="仿宋_GB2312" w:eastAsia="仿宋_GB2312"/>
          <w:sz w:val="24"/>
          <w:color w:val="000000"/>
        </w:rPr>
        <w:t>业</w:t>
      </w:r>
      <w:r>
        <w:rPr>
          <w:rFonts w:ascii="仿宋_GB2312" w:hAnsi="仿宋_GB2312" w:cs="仿宋_GB2312" w:eastAsia="仿宋_GB2312"/>
          <w:sz w:val="24"/>
          <w:color w:val="000000"/>
        </w:rPr>
        <w:t>；从</w:t>
      </w:r>
      <w:r>
        <w:rPr>
          <w:rFonts w:ascii="仿宋_GB2312" w:hAnsi="仿宋_GB2312" w:cs="仿宋_GB2312" w:eastAsia="仿宋_GB2312"/>
          <w:sz w:val="24"/>
          <w:color w:val="000000"/>
        </w:rPr>
        <w:t>业</w:t>
      </w:r>
      <w:r>
        <w:rPr>
          <w:rFonts w:ascii="仿宋_GB2312" w:hAnsi="仿宋_GB2312" w:cs="仿宋_GB2312" w:eastAsia="仿宋_GB2312"/>
          <w:sz w:val="24"/>
          <w:color w:val="000000"/>
        </w:rPr>
        <w:t>人</w:t>
      </w:r>
      <w:r>
        <w:rPr>
          <w:rFonts w:ascii="仿宋_GB2312" w:hAnsi="仿宋_GB2312" w:cs="仿宋_GB2312" w:eastAsia="仿宋_GB2312"/>
          <w:sz w:val="24"/>
          <w:color w:val="000000"/>
        </w:rPr>
        <w:t>员100人以下或营业</w:t>
      </w:r>
      <w:r>
        <w:rPr>
          <w:rFonts w:ascii="仿宋_GB2312" w:hAnsi="仿宋_GB2312" w:cs="仿宋_GB2312" w:eastAsia="仿宋_GB2312"/>
          <w:sz w:val="24"/>
          <w:color w:val="000000"/>
        </w:rPr>
        <w:t>收入</w:t>
      </w:r>
      <w:r>
        <w:rPr>
          <w:rFonts w:ascii="仿宋_GB2312" w:hAnsi="仿宋_GB2312" w:cs="仿宋_GB2312" w:eastAsia="仿宋_GB2312"/>
          <w:sz w:val="24"/>
          <w:color w:val="000000"/>
        </w:rPr>
        <w:t>500</w:t>
      </w:r>
      <w:r>
        <w:rPr>
          <w:rFonts w:ascii="仿宋_GB2312" w:hAnsi="仿宋_GB2312" w:cs="仿宋_GB2312" w:eastAsia="仿宋_GB2312"/>
          <w:sz w:val="24"/>
          <w:color w:val="000000"/>
        </w:rPr>
        <w:t>万元以下的为</w:t>
      </w:r>
      <w:r>
        <w:rPr>
          <w:rFonts w:ascii="仿宋_GB2312" w:hAnsi="仿宋_GB2312" w:cs="仿宋_GB2312" w:eastAsia="仿宋_GB2312"/>
          <w:sz w:val="24"/>
          <w:color w:val="000000"/>
        </w:rPr>
        <w:t>微型企</w:t>
      </w:r>
      <w:r>
        <w:rPr>
          <w:rFonts w:ascii="仿宋_GB2312" w:hAnsi="仿宋_GB2312" w:cs="仿宋_GB2312" w:eastAsia="仿宋_GB2312"/>
          <w:sz w:val="24"/>
          <w:color w:val="000000"/>
        </w:rPr>
        <w:t>业</w:t>
      </w:r>
      <w:r>
        <w:rPr>
          <w:rFonts w:ascii="仿宋_GB2312" w:hAnsi="仿宋_GB2312" w:cs="仿宋_GB2312" w:eastAsia="仿宋_GB2312"/>
          <w:sz w:val="24"/>
          <w:color w:val="000000"/>
        </w:rPr>
        <w:t>。</w:t>
      </w:r>
    </w:p>
    <w:p>
      <w:pPr>
        <w:pStyle w:val="null3"/>
        <w:ind w:firstLine="420"/>
      </w:pPr>
      <w:r>
        <w:rPr>
          <w:rFonts w:ascii="仿宋_GB2312" w:hAnsi="仿宋_GB2312" w:cs="仿宋_GB2312" w:eastAsia="仿宋_GB2312"/>
          <w:sz w:val="24"/>
          <w:b/>
          <w:color w:val="000000"/>
        </w:rPr>
        <w:t>补充条款</w:t>
      </w:r>
      <w:r>
        <w:rPr>
          <w:rFonts w:ascii="仿宋_GB2312" w:hAnsi="仿宋_GB2312" w:cs="仿宋_GB2312" w:eastAsia="仿宋_GB2312"/>
          <w:sz w:val="24"/>
          <w:b/>
          <w:color w:val="000000"/>
        </w:rPr>
        <w:t>:</w:t>
      </w:r>
    </w:p>
    <w:p>
      <w:pPr>
        <w:pStyle w:val="null3"/>
      </w:pPr>
      <w:r>
        <w:rPr>
          <w:rFonts w:ascii="仿宋_GB2312" w:hAnsi="仿宋_GB2312" w:cs="仿宋_GB2312" w:eastAsia="仿宋_GB2312"/>
          <w:sz w:val="24"/>
          <w:b/>
          <w:color w:val="000000"/>
        </w:rPr>
        <w:t>说明</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本补充条款为磋商文件组成部分，补充条款内容与磋商文件其他地方内容不一致的，以本补充条款内容为准。请供应商仔细阅读。</w:t>
      </w:r>
    </w:p>
    <w:p>
      <w:pPr>
        <w:pStyle w:val="null3"/>
      </w:pPr>
      <w:r>
        <w:rPr>
          <w:rFonts w:ascii="仿宋_GB2312" w:hAnsi="仿宋_GB2312" w:cs="仿宋_GB2312" w:eastAsia="仿宋_GB2312"/>
          <w:sz w:val="24"/>
          <w:b/>
          <w:color w:val="000000"/>
        </w:rPr>
        <w:t>一、对《第二章竞争性磋商须知》的内容补充如下</w:t>
      </w:r>
      <w:r>
        <w:rPr>
          <w:rFonts w:ascii="仿宋_GB2312" w:hAnsi="仿宋_GB2312" w:cs="仿宋_GB2312" w:eastAsia="仿宋_GB2312"/>
          <w:sz w:val="24"/>
          <w:b/>
          <w:color w:val="000000"/>
        </w:rPr>
        <w:t>:</w:t>
      </w:r>
    </w:p>
    <w:p>
      <w:pPr>
        <w:pStyle w:val="null3"/>
      </w:pPr>
      <w:r>
        <w:rPr>
          <w:rFonts w:ascii="仿宋_GB2312" w:hAnsi="仿宋_GB2312" w:cs="仿宋_GB2312" w:eastAsia="仿宋_GB2312"/>
          <w:sz w:val="24"/>
          <w:b/>
          <w:color w:val="000000"/>
        </w:rPr>
        <w:t>附件</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：关于明确串标情节及后果的预警提示，供应商应明确知晓相应行为及后果</w:t>
      </w:r>
    </w:p>
    <w:p>
      <w:pPr>
        <w:pStyle w:val="null3"/>
        <w:ind w:firstLine="480"/>
        <w:jc w:val="center"/>
      </w:pPr>
      <w:r>
        <w:rPr>
          <w:rFonts w:ascii="仿宋_GB2312" w:hAnsi="仿宋_GB2312" w:cs="仿宋_GB2312" w:eastAsia="仿宋_GB2312"/>
          <w:sz w:val="24"/>
          <w:color w:val="000000"/>
        </w:rPr>
        <w:t>关于串标情形及后果的告知函</w:t>
      </w:r>
    </w:p>
    <w:p>
      <w:pPr>
        <w:pStyle w:val="null3"/>
        <w:ind w:firstLine="480"/>
      </w:pPr>
      <w:r>
        <w:rPr>
          <w:rFonts w:ascii="仿宋_GB2312" w:hAnsi="仿宋_GB2312" w:cs="仿宋_GB2312" w:eastAsia="仿宋_GB2312"/>
          <w:sz w:val="24"/>
          <w:color w:val="000000"/>
        </w:rPr>
        <w:t>根据《厦门市财政局关于加强涉嫌串通投标情形处理的通知》要求，现将有关串标情形及后果的规定列明如下，请各供应商仔细阅读，在参与本项目采购活动中，要遵纪守法，公平参与竞争，不得从事违法行为，否则将依法承担相应责任：</w:t>
      </w:r>
    </w:p>
    <w:p>
      <w:pPr>
        <w:pStyle w:val="null3"/>
        <w:ind w:firstLine="480"/>
      </w:pPr>
      <w:r>
        <w:rPr>
          <w:rFonts w:ascii="仿宋_GB2312" w:hAnsi="仿宋_GB2312" w:cs="仿宋_GB2312" w:eastAsia="仿宋_GB2312"/>
          <w:sz w:val="24"/>
          <w:color w:val="000000"/>
        </w:rPr>
        <w:t>一、串标情形</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政府采购法》第二十五条：政府采购当事人不得相互串通损害国家利益、社会公共利益和其他当事人的合法权益；不得以任何手段排斥其他供应商参与竞争。供应商不得以向采购人、采购代理机构、评标委员会的组成人员、竞争性磋商小组的组成人员、询价小组的组成人员行贿或者采取其他不正当手段谋取中标或者成交。</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政府采购法实施条例》第七十四条：有下列情形之一的，属于恶意串通，对供应商依照政府采购法第七十七条第一款的规定追究法律责任，对采购人、采购代理机构及其工作人员依照政府采购法第七十二条的规定追究法律责任：</w:t>
      </w:r>
    </w:p>
    <w:p>
      <w:pPr>
        <w:pStyle w:val="null3"/>
        <w:ind w:firstLine="480"/>
      </w:pPr>
      <w:r>
        <w:rPr>
          <w:rFonts w:ascii="仿宋_GB2312" w:hAnsi="仿宋_GB2312" w:cs="仿宋_GB2312" w:eastAsia="仿宋_GB2312"/>
          <w:sz w:val="24"/>
          <w:color w:val="000000"/>
        </w:rPr>
        <w:t>（一）供应商直接或者间接从采购人或者采购代理机构处获得其他供应商的相关情况并修改其投标文件或者响应文件；</w:t>
      </w:r>
    </w:p>
    <w:p>
      <w:pPr>
        <w:pStyle w:val="null3"/>
        <w:ind w:firstLine="480"/>
      </w:pPr>
      <w:r>
        <w:rPr>
          <w:rFonts w:ascii="仿宋_GB2312" w:hAnsi="仿宋_GB2312" w:cs="仿宋_GB2312" w:eastAsia="仿宋_GB2312"/>
          <w:sz w:val="24"/>
          <w:color w:val="000000"/>
        </w:rPr>
        <w:t>（二）供应商按照采购人或者采购代理机构的授意撤换、修改投标文件或者响应文件；</w:t>
      </w:r>
    </w:p>
    <w:p>
      <w:pPr>
        <w:pStyle w:val="null3"/>
        <w:ind w:firstLine="480"/>
      </w:pPr>
      <w:r>
        <w:rPr>
          <w:rFonts w:ascii="仿宋_GB2312" w:hAnsi="仿宋_GB2312" w:cs="仿宋_GB2312" w:eastAsia="仿宋_GB2312"/>
          <w:sz w:val="24"/>
          <w:color w:val="000000"/>
        </w:rPr>
        <w:t>（三）供应商之间协商报价、技术方案等投标文件或者响应文件的实质性内容；</w:t>
      </w:r>
    </w:p>
    <w:p>
      <w:pPr>
        <w:pStyle w:val="null3"/>
        <w:ind w:firstLine="480"/>
      </w:pPr>
      <w:r>
        <w:rPr>
          <w:rFonts w:ascii="仿宋_GB2312" w:hAnsi="仿宋_GB2312" w:cs="仿宋_GB2312" w:eastAsia="仿宋_GB2312"/>
          <w:sz w:val="24"/>
          <w:color w:val="000000"/>
        </w:rPr>
        <w:t>（四）属于同一集团、协会、商会等组织成员的供应商按照该组织要求协同参加政府采购活动；</w:t>
      </w:r>
    </w:p>
    <w:p>
      <w:pPr>
        <w:pStyle w:val="null3"/>
        <w:ind w:firstLine="480"/>
      </w:pPr>
      <w:r>
        <w:rPr>
          <w:rFonts w:ascii="仿宋_GB2312" w:hAnsi="仿宋_GB2312" w:cs="仿宋_GB2312" w:eastAsia="仿宋_GB2312"/>
          <w:sz w:val="24"/>
          <w:color w:val="000000"/>
        </w:rPr>
        <w:t>（五）供应商之间事先约定由某一特定供应商中标、成交；</w:t>
      </w:r>
    </w:p>
    <w:p>
      <w:pPr>
        <w:pStyle w:val="null3"/>
        <w:ind w:firstLine="480"/>
      </w:pPr>
      <w:r>
        <w:rPr>
          <w:rFonts w:ascii="仿宋_GB2312" w:hAnsi="仿宋_GB2312" w:cs="仿宋_GB2312" w:eastAsia="仿宋_GB2312"/>
          <w:sz w:val="24"/>
          <w:color w:val="000000"/>
        </w:rPr>
        <w:t>（六）供应商之间商定部分供应商放弃参加政府采购活动或者放弃中标、成交；</w:t>
      </w:r>
    </w:p>
    <w:p>
      <w:pPr>
        <w:pStyle w:val="null3"/>
        <w:ind w:firstLine="480"/>
      </w:pPr>
      <w:r>
        <w:rPr>
          <w:rFonts w:ascii="仿宋_GB2312" w:hAnsi="仿宋_GB2312" w:cs="仿宋_GB2312" w:eastAsia="仿宋_GB2312"/>
          <w:sz w:val="24"/>
          <w:color w:val="000000"/>
        </w:rPr>
        <w:t>（七）供应商与采购人或者采购代理机构之间、供应商相互之间，为谋求特定供应商中标、成交或者排斥其他供应商的其他串通行为。</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、《福建省财政厅关于电子化政府采购项目中视为串标情形认定与处理的指导意见》（闽财购〔</w:t>
      </w:r>
      <w:r>
        <w:rPr>
          <w:rFonts w:ascii="仿宋_GB2312" w:hAnsi="仿宋_GB2312" w:cs="仿宋_GB2312" w:eastAsia="仿宋_GB2312"/>
          <w:sz w:val="24"/>
          <w:color w:val="000000"/>
        </w:rPr>
        <w:t>2018</w:t>
      </w:r>
      <w:r>
        <w:rPr>
          <w:rFonts w:ascii="仿宋_GB2312" w:hAnsi="仿宋_GB2312" w:cs="仿宋_GB2312" w:eastAsia="仿宋_GB2312"/>
          <w:sz w:val="24"/>
          <w:color w:val="000000"/>
        </w:rPr>
        <w:t>〕</w:t>
      </w:r>
      <w:r>
        <w:rPr>
          <w:rFonts w:ascii="仿宋_GB2312" w:hAnsi="仿宋_GB2312" w:cs="仿宋_GB2312" w:eastAsia="仿宋_GB2312"/>
          <w:sz w:val="24"/>
          <w:color w:val="000000"/>
        </w:rPr>
        <w:t>30</w:t>
      </w:r>
      <w:r>
        <w:rPr>
          <w:rFonts w:ascii="仿宋_GB2312" w:hAnsi="仿宋_GB2312" w:cs="仿宋_GB2312" w:eastAsia="仿宋_GB2312"/>
          <w:sz w:val="24"/>
          <w:color w:val="000000"/>
        </w:rPr>
        <w:t>号）</w:t>
      </w:r>
    </w:p>
    <w:p>
      <w:pPr>
        <w:pStyle w:val="null3"/>
        <w:ind w:firstLine="480"/>
      </w:pPr>
      <w:r>
        <w:rPr>
          <w:rFonts w:ascii="仿宋_GB2312" w:hAnsi="仿宋_GB2312" w:cs="仿宋_GB2312" w:eastAsia="仿宋_GB2312"/>
          <w:sz w:val="24"/>
          <w:color w:val="000000"/>
        </w:rPr>
        <w:t>一、电子化招标项目视为串通情形的认定</w:t>
      </w:r>
    </w:p>
    <w:p>
      <w:pPr>
        <w:pStyle w:val="null3"/>
        <w:ind w:firstLine="480"/>
      </w:pPr>
      <w:r>
        <w:rPr>
          <w:rFonts w:ascii="仿宋_GB2312" w:hAnsi="仿宋_GB2312" w:cs="仿宋_GB2312" w:eastAsia="仿宋_GB2312"/>
          <w:sz w:val="24"/>
          <w:color w:val="000000"/>
        </w:rPr>
        <w:t>（一）保证金验核阶段</w:t>
      </w:r>
    </w:p>
    <w:p>
      <w:pPr>
        <w:pStyle w:val="null3"/>
        <w:ind w:firstLine="480"/>
      </w:pPr>
      <w:r>
        <w:rPr>
          <w:rFonts w:ascii="仿宋_GB2312" w:hAnsi="仿宋_GB2312" w:cs="仿宋_GB2312" w:eastAsia="仿宋_GB2312"/>
          <w:sz w:val="24"/>
          <w:color w:val="000000"/>
        </w:rPr>
        <w:t>不同供应商的投标保证金转出账户的银行账户名称相同的，属于《政府采购货物和服务招标投标管理办法》（财政部令第</w:t>
      </w:r>
      <w:r>
        <w:rPr>
          <w:rFonts w:ascii="仿宋_GB2312" w:hAnsi="仿宋_GB2312" w:cs="仿宋_GB2312" w:eastAsia="仿宋_GB2312"/>
          <w:sz w:val="24"/>
          <w:color w:val="000000"/>
        </w:rPr>
        <w:t>87</w:t>
      </w:r>
      <w:r>
        <w:rPr>
          <w:rFonts w:ascii="仿宋_GB2312" w:hAnsi="仿宋_GB2312" w:cs="仿宋_GB2312" w:eastAsia="仿宋_GB2312"/>
          <w:sz w:val="24"/>
          <w:color w:val="000000"/>
        </w:rPr>
        <w:t>号）第三十七条第（六）项“不同供应商的投标保证金从同一单位或者个人的账户转出”的情形。</w:t>
      </w:r>
    </w:p>
    <w:p>
      <w:pPr>
        <w:pStyle w:val="null3"/>
        <w:ind w:firstLine="480"/>
      </w:pPr>
      <w:r>
        <w:rPr>
          <w:rFonts w:ascii="仿宋_GB2312" w:hAnsi="仿宋_GB2312" w:cs="仿宋_GB2312" w:eastAsia="仿宋_GB2312"/>
          <w:sz w:val="24"/>
          <w:color w:val="000000"/>
        </w:rPr>
        <w:t>（二）电子响应文件解密阶段</w:t>
      </w:r>
    </w:p>
    <w:p>
      <w:pPr>
        <w:pStyle w:val="null3"/>
        <w:ind w:firstLine="480"/>
      </w:pPr>
      <w:r>
        <w:rPr>
          <w:rFonts w:ascii="仿宋_GB2312" w:hAnsi="仿宋_GB2312" w:cs="仿宋_GB2312" w:eastAsia="仿宋_GB2312"/>
          <w:sz w:val="24"/>
          <w:color w:val="000000"/>
        </w:rPr>
        <w:t>电子响应文件的个性特征与本采购项目的其他响应人存在雷同的，按照以下方式进行认定：</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供应商上传电子投标文件被福建省政府采购网上公开信息系统投标客户端所赋予的项目内部识别码与本招标项目的其他供应商相同的，属于《政府采购货物和服务招标投标管理办法》（财政部令第</w:t>
      </w:r>
      <w:r>
        <w:rPr>
          <w:rFonts w:ascii="仿宋_GB2312" w:hAnsi="仿宋_GB2312" w:cs="仿宋_GB2312" w:eastAsia="仿宋_GB2312"/>
          <w:sz w:val="24"/>
          <w:color w:val="000000"/>
        </w:rPr>
        <w:t>87</w:t>
      </w:r>
      <w:r>
        <w:rPr>
          <w:rFonts w:ascii="仿宋_GB2312" w:hAnsi="仿宋_GB2312" w:cs="仿宋_GB2312" w:eastAsia="仿宋_GB2312"/>
          <w:sz w:val="24"/>
          <w:color w:val="000000"/>
        </w:rPr>
        <w:t>号）第三十七条第（一）项“不同供应商的投标文件由同一单位或者个人编制”的情形。</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系统记录的编制电子投标文件使用的计算机或上传电子投标文件使用的计算机网卡</w:t>
      </w:r>
      <w:r>
        <w:rPr>
          <w:rFonts w:ascii="仿宋_GB2312" w:hAnsi="仿宋_GB2312" w:cs="仿宋_GB2312" w:eastAsia="仿宋_GB2312"/>
          <w:sz w:val="24"/>
          <w:color w:val="000000"/>
        </w:rPr>
        <w:t>MAC</w:t>
      </w:r>
      <w:r>
        <w:rPr>
          <w:rFonts w:ascii="仿宋_GB2312" w:hAnsi="仿宋_GB2312" w:cs="仿宋_GB2312" w:eastAsia="仿宋_GB2312"/>
          <w:sz w:val="24"/>
          <w:color w:val="000000"/>
        </w:rPr>
        <w:t>地址与本招标项目的其他供应商一致的，属于《政府采购货物和服务招标投标管理办法》（财政部令第</w:t>
      </w:r>
      <w:r>
        <w:rPr>
          <w:rFonts w:ascii="仿宋_GB2312" w:hAnsi="仿宋_GB2312" w:cs="仿宋_GB2312" w:eastAsia="仿宋_GB2312"/>
          <w:sz w:val="24"/>
          <w:color w:val="000000"/>
        </w:rPr>
        <w:t>87</w:t>
      </w:r>
      <w:r>
        <w:rPr>
          <w:rFonts w:ascii="仿宋_GB2312" w:hAnsi="仿宋_GB2312" w:cs="仿宋_GB2312" w:eastAsia="仿宋_GB2312"/>
          <w:sz w:val="24"/>
          <w:color w:val="000000"/>
        </w:rPr>
        <w:t>号）第三十七条第（二）项“不同供应商委托同一单位或者个人办理投标事宜”的情形。</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供应商上传的电子投标文件若出现使用本项目其他供应商的数字证书加密的或加盖本项目的其他供应商的电子印章的，属于《政府采购货物和服务招标投标管理办法》（财政部令第</w:t>
      </w:r>
      <w:r>
        <w:rPr>
          <w:rFonts w:ascii="仿宋_GB2312" w:hAnsi="仿宋_GB2312" w:cs="仿宋_GB2312" w:eastAsia="仿宋_GB2312"/>
          <w:sz w:val="24"/>
          <w:color w:val="000000"/>
        </w:rPr>
        <w:t>87</w:t>
      </w:r>
      <w:r>
        <w:rPr>
          <w:rFonts w:ascii="仿宋_GB2312" w:hAnsi="仿宋_GB2312" w:cs="仿宋_GB2312" w:eastAsia="仿宋_GB2312"/>
          <w:sz w:val="24"/>
          <w:color w:val="000000"/>
        </w:rPr>
        <w:t>号）第三十七条第（五）项“不同供应商的投标文件相互混装”的情形。</w:t>
      </w:r>
    </w:p>
    <w:p>
      <w:pPr>
        <w:pStyle w:val="null3"/>
        <w:ind w:firstLine="480"/>
      </w:pPr>
      <w:r>
        <w:rPr>
          <w:rFonts w:ascii="仿宋_GB2312" w:hAnsi="仿宋_GB2312" w:cs="仿宋_GB2312" w:eastAsia="仿宋_GB2312"/>
          <w:sz w:val="24"/>
          <w:color w:val="000000"/>
        </w:rPr>
        <w:t>二、电子化非招标项目视为串通情形的认定</w:t>
      </w:r>
    </w:p>
    <w:p>
      <w:pPr>
        <w:pStyle w:val="null3"/>
        <w:ind w:firstLine="480"/>
      </w:pPr>
      <w:r>
        <w:rPr>
          <w:rFonts w:ascii="仿宋_GB2312" w:hAnsi="仿宋_GB2312" w:cs="仿宋_GB2312" w:eastAsia="仿宋_GB2312"/>
          <w:sz w:val="24"/>
          <w:color w:val="000000"/>
        </w:rPr>
        <w:t>电子化非招标项目（包括竞争性磋商、竞争性磋商、询价）中出现本意见第一点所列情形的，属于《中华人民共和国政府采购法实施条例》第七十四条第（七）项“供应商与采购人或者采购代理机构之间、供应商相互之间，为谋求特定供应商中标、成交或者排斥其他供应商的其他串通行为”。</w:t>
      </w:r>
    </w:p>
    <w:p>
      <w:pPr>
        <w:pStyle w:val="null3"/>
        <w:ind w:firstLine="480"/>
      </w:pPr>
      <w:r>
        <w:rPr>
          <w:rFonts w:ascii="仿宋_GB2312" w:hAnsi="仿宋_GB2312" w:cs="仿宋_GB2312" w:eastAsia="仿宋_GB2312"/>
          <w:sz w:val="24"/>
          <w:color w:val="000000"/>
        </w:rPr>
        <w:t>二、后果</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政府采购法》第七十七条：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ind w:firstLine="480"/>
      </w:pPr>
      <w:r>
        <w:rPr>
          <w:rFonts w:ascii="仿宋_GB2312" w:hAnsi="仿宋_GB2312" w:cs="仿宋_GB2312" w:eastAsia="仿宋_GB2312"/>
          <w:sz w:val="24"/>
          <w:color w:val="000000"/>
        </w:rPr>
        <w:t>（三）与采购人、其他供应商或者采购代理机构恶意串通的；</w:t>
      </w:r>
    </w:p>
    <w:p>
      <w:pPr>
        <w:pStyle w:val="null3"/>
        <w:ind w:firstLine="480"/>
      </w:pPr>
      <w:r>
        <w:rPr>
          <w:rFonts w:ascii="仿宋_GB2312" w:hAnsi="仿宋_GB2312" w:cs="仿宋_GB2312" w:eastAsia="仿宋_GB2312"/>
          <w:sz w:val="24"/>
          <w:color w:val="000000"/>
        </w:rPr>
        <w:t>供应商有前款第（一）至（五）项情形之一的，中标、成交无效。</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、《政府采购非招标采购方式管理办法》（财政部令第</w:t>
      </w:r>
      <w:r>
        <w:rPr>
          <w:rFonts w:ascii="仿宋_GB2312" w:hAnsi="仿宋_GB2312" w:cs="仿宋_GB2312" w:eastAsia="仿宋_GB2312"/>
          <w:sz w:val="24"/>
          <w:color w:val="000000"/>
        </w:rPr>
        <w:t>74</w:t>
      </w:r>
      <w:r>
        <w:rPr>
          <w:rFonts w:ascii="仿宋_GB2312" w:hAnsi="仿宋_GB2312" w:cs="仿宋_GB2312" w:eastAsia="仿宋_GB2312"/>
          <w:sz w:val="24"/>
          <w:color w:val="000000"/>
        </w:rPr>
        <w:t>号）第二十条：有下列情形之一的，保证金不予退还：</w:t>
      </w:r>
    </w:p>
    <w:p>
      <w:pPr>
        <w:pStyle w:val="null3"/>
        <w:ind w:firstLine="480"/>
      </w:pPr>
      <w:r>
        <w:rPr>
          <w:rFonts w:ascii="仿宋_GB2312" w:hAnsi="仿宋_GB2312" w:cs="仿宋_GB2312" w:eastAsia="仿宋_GB2312"/>
          <w:sz w:val="24"/>
          <w:color w:val="000000"/>
        </w:rPr>
        <w:t>（四）供应商与采购人、其他供应商或者采购代理机构恶意串通的；</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、《福建省财政厅关于电子化政府采购项目中视为串标情形认定与处理的指导意见》（闽财购〔</w:t>
      </w:r>
      <w:r>
        <w:rPr>
          <w:rFonts w:ascii="仿宋_GB2312" w:hAnsi="仿宋_GB2312" w:cs="仿宋_GB2312" w:eastAsia="仿宋_GB2312"/>
          <w:sz w:val="24"/>
          <w:color w:val="000000"/>
        </w:rPr>
        <w:t>2018</w:t>
      </w:r>
      <w:r>
        <w:rPr>
          <w:rFonts w:ascii="仿宋_GB2312" w:hAnsi="仿宋_GB2312" w:cs="仿宋_GB2312" w:eastAsia="仿宋_GB2312"/>
          <w:sz w:val="24"/>
          <w:color w:val="000000"/>
        </w:rPr>
        <w:t>〕</w:t>
      </w:r>
      <w:r>
        <w:rPr>
          <w:rFonts w:ascii="仿宋_GB2312" w:hAnsi="仿宋_GB2312" w:cs="仿宋_GB2312" w:eastAsia="仿宋_GB2312"/>
          <w:sz w:val="24"/>
          <w:color w:val="000000"/>
        </w:rPr>
        <w:t>30</w:t>
      </w:r>
      <w:r>
        <w:rPr>
          <w:rFonts w:ascii="仿宋_GB2312" w:hAnsi="仿宋_GB2312" w:cs="仿宋_GB2312" w:eastAsia="仿宋_GB2312"/>
          <w:sz w:val="24"/>
          <w:color w:val="000000"/>
        </w:rPr>
        <w:t>号）</w:t>
      </w:r>
    </w:p>
    <w:p>
      <w:pPr>
        <w:pStyle w:val="null3"/>
        <w:ind w:firstLine="480"/>
      </w:pPr>
      <w:r>
        <w:rPr>
          <w:rFonts w:ascii="仿宋_GB2312" w:hAnsi="仿宋_GB2312" w:cs="仿宋_GB2312" w:eastAsia="仿宋_GB2312"/>
          <w:sz w:val="24"/>
          <w:color w:val="000000"/>
        </w:rPr>
        <w:t>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ind w:firstLine="480"/>
      </w:pPr>
      <w:r>
        <w:rPr>
          <w:rFonts w:ascii="仿宋_GB2312" w:hAnsi="仿宋_GB2312" w:cs="仿宋_GB2312" w:eastAsia="仿宋_GB2312"/>
          <w:sz w:val="24"/>
          <w:color w:val="000000"/>
        </w:rPr>
        <w:t>三、虚假响应风险提示</w:t>
      </w:r>
    </w:p>
    <w:p>
      <w:pPr>
        <w:pStyle w:val="null3"/>
      </w:pPr>
      <w:r>
        <w:rPr>
          <w:rFonts w:ascii="仿宋_GB2312" w:hAnsi="仿宋_GB2312" w:cs="仿宋_GB2312" w:eastAsia="仿宋_GB2312"/>
          <w:sz w:val="24"/>
          <w:color w:val="000000"/>
        </w:rPr>
        <w:t>《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成交的违法行为的执法力度。相关行政处罚案件，供应商可登陆中国政府采购网的“政府采购严重违法失信行为记录名单”查询，望引以为戒。</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2.1本项目不允许成交供应商以任何名义和理由在成交后将成交项目的主体、非主体、关键性工作、非关键性工作进行转包、分包，在履行合同过程中如有发现，采购人有权单方终止合同。视为成交供应商违约，成交供应商违约对采购人造成的损失的，需另行支付相应的赔偿，并追究相关法律责任。 2.2供应商应当熟悉相应法律、法规、及技术规范、标准，熟悉工作内容。 2.3磋商文件未明确的其它约定事项或条款，待采购人与成交供应商签订合同时，由双方协商订立。</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[350211]XHT[CS]2025001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厦门市集美区纪检监察事务中心办公楼物业管理服务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1(厦门市集美区纪检监察事务中心办公楼物业管理服务)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厦门市集美区纪检监察事务中心办公楼物业管理服务</w:t>
            </w:r>
          </w:p>
        </w:tc>
        <w:tc>
          <w:tcPr>
            <w:tcW w:type="dxa" w:w="1661"/>
          </w:tcPr>
          <w:p>
            <w:pPr>
              <w:pStyle w:val="null3"/>
              <w:jc w:val="left"/>
            </w:pPr>
            <w:r>
              <w:rPr>
                <w:rFonts w:ascii="仿宋_GB2312" w:hAnsi="仿宋_GB2312" w:cs="仿宋_GB2312" w:eastAsia="仿宋_GB2312"/>
              </w:rPr>
              <w:t xml:space="preserve"> 1200000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[350211]XHT[CS]2025001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厦门市集美区纪检监察事务中心办公楼物业管理服务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厦门市集美区纪检监察事务中心办公楼物业管理服务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厦门市集美区纪检监察事务中心办公楼物业管理服务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厦门市集美区纪检监察事务中心办公楼物业管理服务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